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color w:val="000000"/>
          <w:sz w:val="32"/>
          <w:szCs w:val="32"/>
        </w:rPr>
      </w:pPr>
      <w:r>
        <w:rPr>
          <w:rFonts w:hint="eastAsia" w:ascii="方正小标宋_GBK" w:hAnsi="宋体" w:eastAsia="方正小标宋_GBK"/>
          <w:color w:val="000000"/>
          <w:sz w:val="32"/>
          <w:szCs w:val="32"/>
        </w:rPr>
        <w:t>团体标准《广西林下中药材种植技术规程  第1部分：总则》</w:t>
      </w:r>
    </w:p>
    <w:p>
      <w:pPr>
        <w:jc w:val="center"/>
        <w:rPr>
          <w:rFonts w:ascii="方正小标宋_GBK" w:hAnsi="宋体" w:eastAsia="方正小标宋_GBK"/>
          <w:color w:val="000000"/>
          <w:sz w:val="32"/>
          <w:szCs w:val="32"/>
        </w:rPr>
      </w:pPr>
      <w:r>
        <w:rPr>
          <w:rFonts w:hint="eastAsia" w:ascii="方正小标宋_GBK" w:hAnsi="宋体" w:eastAsia="方正小标宋_GBK"/>
          <w:color w:val="000000"/>
          <w:sz w:val="32"/>
          <w:szCs w:val="32"/>
        </w:rPr>
        <w:t>（征求意见稿）编制说明</w:t>
      </w:r>
    </w:p>
    <w:p>
      <w:pPr>
        <w:autoSpaceDE w:val="0"/>
        <w:autoSpaceDN w:val="0"/>
        <w:adjustRightInd w:val="0"/>
        <w:spacing w:before="156" w:beforeLines="50" w:after="156" w:afterLines="50" w:line="52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一、项目来源</w:t>
      </w:r>
    </w:p>
    <w:p>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根据《关于下达2021年第二十</w:t>
      </w:r>
      <w:r>
        <w:rPr>
          <w:rFonts w:hint="eastAsia" w:ascii="仿宋_GB2312" w:hAnsi="宋体" w:eastAsia="仿宋_GB2312"/>
          <w:sz w:val="28"/>
          <w:szCs w:val="28"/>
          <w:lang w:eastAsia="zh-CN"/>
        </w:rPr>
        <w:t>一</w:t>
      </w:r>
      <w:r>
        <w:rPr>
          <w:rFonts w:hint="eastAsia" w:ascii="仿宋_GB2312" w:hAnsi="宋体" w:eastAsia="仿宋_GB2312"/>
          <w:sz w:val="28"/>
          <w:szCs w:val="28"/>
        </w:rPr>
        <w:t>批团体标准制修订项目计划的通知》（桂标协〔2021〕</w:t>
      </w:r>
      <w:r>
        <w:rPr>
          <w:rFonts w:hint="eastAsia" w:ascii="仿宋_GB2312" w:hAnsi="宋体" w:eastAsia="仿宋_GB2312"/>
          <w:sz w:val="28"/>
          <w:szCs w:val="28"/>
          <w:lang w:val="en-US" w:eastAsia="zh-CN"/>
        </w:rPr>
        <w:t>50</w:t>
      </w:r>
      <w:r>
        <w:rPr>
          <w:rFonts w:hint="eastAsia" w:ascii="仿宋_GB2312" w:hAnsi="宋体" w:eastAsia="仿宋_GB2312"/>
          <w:sz w:val="28"/>
          <w:szCs w:val="28"/>
        </w:rPr>
        <w:t>号）文件精神，由</w:t>
      </w:r>
      <w:r>
        <w:rPr>
          <w:rFonts w:hint="eastAsia" w:ascii="仿宋_GB2312" w:hAnsi="宋体" w:eastAsia="仿宋_GB2312"/>
          <w:sz w:val="28"/>
          <w:szCs w:val="28"/>
          <w:lang w:eastAsia="zh-CN"/>
        </w:rPr>
        <w:t>广西林下经济产业协会</w:t>
      </w:r>
      <w:r>
        <w:rPr>
          <w:rFonts w:hint="eastAsia" w:ascii="仿宋_GB2312" w:hAnsi="宋体" w:eastAsia="仿宋_GB2312"/>
          <w:sz w:val="28"/>
          <w:szCs w:val="28"/>
        </w:rPr>
        <w:t>提出</w:t>
      </w:r>
      <w:r>
        <w:rPr>
          <w:rFonts w:hint="eastAsia" w:ascii="仿宋_GB2312" w:hAnsi="宋体" w:eastAsia="仿宋_GB2312"/>
          <w:sz w:val="28"/>
          <w:szCs w:val="28"/>
          <w:lang w:eastAsia="zh-CN"/>
        </w:rPr>
        <w:t>，广西林下经济产业协会、广西壮族自治区药用植物、广西壮族自治区林业科学研究院、良凤江树木园共同</w:t>
      </w:r>
      <w:r>
        <w:rPr>
          <w:rFonts w:hint="eastAsia" w:ascii="仿宋_GB2312" w:hAnsi="宋体" w:eastAsia="仿宋_GB2312"/>
          <w:sz w:val="28"/>
          <w:szCs w:val="28"/>
        </w:rPr>
        <w:t>起草</w:t>
      </w:r>
      <w:r>
        <w:rPr>
          <w:rFonts w:hint="eastAsia" w:ascii="仿宋_GB2312" w:hAnsi="宋体" w:eastAsia="仿宋_GB2312"/>
          <w:sz w:val="28"/>
          <w:szCs w:val="28"/>
          <w:lang w:eastAsia="zh-CN"/>
        </w:rPr>
        <w:t>的</w:t>
      </w:r>
      <w:r>
        <w:rPr>
          <w:rFonts w:hint="eastAsia" w:ascii="仿宋_GB2312" w:hAnsi="宋体" w:eastAsia="仿宋_GB2312"/>
          <w:sz w:val="28"/>
          <w:szCs w:val="28"/>
        </w:rPr>
        <w:t>团体标准《</w:t>
      </w:r>
      <w:r>
        <w:rPr>
          <w:rFonts w:hint="eastAsia" w:ascii="仿宋_GB2312" w:hAnsi="宋体" w:eastAsia="仿宋_GB2312"/>
          <w:sz w:val="28"/>
          <w:szCs w:val="28"/>
          <w:lang w:eastAsia="zh-CN"/>
        </w:rPr>
        <w:t>广西林下中药材种植技术规程  第1部分：总则</w:t>
      </w:r>
      <w:r>
        <w:rPr>
          <w:rFonts w:hint="eastAsia" w:ascii="仿宋_GB2312" w:hAnsi="宋体" w:eastAsia="仿宋_GB2312"/>
          <w:sz w:val="28"/>
          <w:szCs w:val="28"/>
        </w:rPr>
        <w:t>》（项目编号：2021-2</w:t>
      </w:r>
      <w:r>
        <w:rPr>
          <w:rFonts w:hint="eastAsia" w:ascii="仿宋_GB2312" w:hAnsi="宋体" w:eastAsia="仿宋_GB2312"/>
          <w:sz w:val="28"/>
          <w:szCs w:val="28"/>
          <w:lang w:val="en-US" w:eastAsia="zh-CN"/>
        </w:rPr>
        <w:t>1</w:t>
      </w:r>
      <w:r>
        <w:rPr>
          <w:rFonts w:hint="eastAsia" w:ascii="仿宋_GB2312" w:hAnsi="宋体" w:eastAsia="仿宋_GB2312"/>
          <w:sz w:val="28"/>
          <w:szCs w:val="28"/>
        </w:rPr>
        <w:t>0</w:t>
      </w:r>
      <w:r>
        <w:rPr>
          <w:rFonts w:hint="eastAsia" w:ascii="仿宋_GB2312" w:hAnsi="宋体" w:eastAsia="仿宋_GB2312"/>
          <w:sz w:val="28"/>
          <w:szCs w:val="28"/>
          <w:lang w:val="en-US" w:eastAsia="zh-CN"/>
        </w:rPr>
        <w:t>2</w:t>
      </w:r>
      <w:r>
        <w:rPr>
          <w:rFonts w:hint="eastAsia" w:ascii="仿宋_GB2312" w:hAnsi="宋体" w:eastAsia="仿宋_GB2312"/>
          <w:sz w:val="28"/>
          <w:szCs w:val="28"/>
        </w:rPr>
        <w:t>）。</w:t>
      </w:r>
    </w:p>
    <w:p>
      <w:pPr>
        <w:autoSpaceDE w:val="0"/>
        <w:autoSpaceDN w:val="0"/>
        <w:adjustRightInd w:val="0"/>
        <w:spacing w:before="156" w:beforeLines="50" w:after="156" w:afterLines="50" w:line="52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二、项目背景及目的意义</w:t>
      </w:r>
    </w:p>
    <w:p>
      <w:pPr>
        <w:autoSpaceDE w:val="0"/>
        <w:autoSpaceDN w:val="0"/>
        <w:adjustRightInd w:val="0"/>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rPr>
        <w:t>林下经济（non-timber forest-based economy）是依托森林、林地及其生态环境，遵循可持续经营原则，以开展复合经营为主要特征的生态友好型经济。包括林下种植、林下养殖、相关产品采集加工、森林景观利用等。</w:t>
      </w:r>
    </w:p>
    <w:p>
      <w:pPr>
        <w:autoSpaceDE w:val="0"/>
        <w:autoSpaceDN w:val="0"/>
        <w:adjustRightInd w:val="0"/>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rPr>
        <w:t>广西是我国南方重要林区，林地资源丰富，现有林地2.34亿亩，其中集体林地2.1亿亩。2010年，自治区出台了《广西壮族自治区人民政府办公厅关于大力推进林下经济发展的意见》（桂政办发〔2010〕191号），提出通过充分利用林下土地资源和空间环境条件，大力发展林下经济，促进农民增收、农业发展。2016年又印发了《广西壮族自治区人民政府办公厅关于加快促进广西林下经济产业转型升级的若干意见》，要求要转变我区林下经济发展方式,加快林下经济产业转型升级,促进全区农民增收和农村经济发展。两个文件的出台，大大推动了广西林下经济产业的迅猛发展。经过十年的持续发展，我区林下经济产业已基本形成总体规模较大、产值较高、类型较全、模式种类较多、助推脱贫攻坚、乡村振兴的重要产业之一。</w:t>
      </w:r>
    </w:p>
    <w:p>
      <w:pPr>
        <w:autoSpaceDE w:val="0"/>
        <w:autoSpaceDN w:val="0"/>
        <w:adjustRightInd w:val="0"/>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rPr>
        <w:t>而林下中药材种植是林下经济的最重要组成部分。近年来，国家高度重视中医药民族医药，对扶持和促进中医药民族医药发展作出战略部署。中央、自治区的高度重视以及医药工业被列入14个优先重点发展的千亿元产业规划，都使广西中医药民族医药发展面临重大历史性机遇。2019年10月20日，《中共中央、国务院关于促进中医药传承创新发展的意见》由中共中央、国务院发布实施。同年10月26日，自治区党委书记鹿心社针对中央《意见》批示：“请自治区政府具体组织有关部门抓好贯彻落实”，12月20日在《关于“以发展民族医药产业为龙头促进我区民族特色产业发展”的调研报告》上批示：“此事重要，对广西具有特殊意义。自治区党委政府还先后印发了《广西乡村振兴战略规划（2018—2022年）》、《广西特色农产品优势区建设规划（2018—2022年）》等政策，鼓励区、市、县加快培育贫困地区、贫困群众增收产业体系，加大对中药材种植的投入，助推贫困农民脱贫致富奔小康，结合当地扶贫实际和农业特色产业结构特点，制定打赢脱贫攻坚战的规划，全面推进乡村振兴。2021年广西壮族自治区人民政府办公厅印发《促进全区中药材壮瑶药材产业高质量发展实施方案》提出实行以基地为核心的生产模式。围绕中药材壮瑶药材重点品种，按照统一规划、合理布局、集中连片的原则，通过企业主导，加强土地流转，发展现代农业示范区（园），建设高标准中药材壮瑶药材生产基地。引导国有农林场充分利用农林地资源和林下空间，依托大型药企建设仿野生中药材壮瑶药材生产基地。</w:t>
      </w:r>
    </w:p>
    <w:p>
      <w:pPr>
        <w:autoSpaceDE w:val="0"/>
        <w:autoSpaceDN w:val="0"/>
        <w:adjustRightInd w:val="0"/>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rPr>
        <w:t>一、必要性</w:t>
      </w:r>
    </w:p>
    <w:p>
      <w:pPr>
        <w:autoSpaceDE w:val="0"/>
        <w:autoSpaceDN w:val="0"/>
        <w:adjustRightInd w:val="0"/>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rPr>
        <w:t>广西位于云贵高原，地处中国东南边缘，是亚热带地区，其地形以山地丘陵为主，约占广西总面积的一半以上，适合传统农业发展的平原地区只有总面积的四分之一左右，农业发展形式极其严峻。相比传统农业，广西的林业用地占全区总面积的百分之六十多，有极大的开发价值，最适合林下中药材的生长，我区的药材大部分来自于林间。故根据林间光照强弱及各种中草药的不同需光特性，科学选择种植种类、品种，通过立体经营和复合经营来发展林下中药材种植，可进一步提高林地综合效益，实现森林的高质量、高效发展目标。同时，还可以通过林业生产长、中、短结合，促进农民增收。此外，通过对林下中药材种植的现有经验总结出适合林下中药材高效种植的生长环境要求，对提高广西林下经济产业化水平，实现林业经营长、中、短期效益的有机结合，进而推动林下经济产业的快速发展意义重大。林下种植与大田种植的最大区别之处是在不破坏原有环境下有效利用林下的空间种植中药材。</w:t>
      </w:r>
    </w:p>
    <w:p>
      <w:pPr>
        <w:autoSpaceDE w:val="0"/>
        <w:autoSpaceDN w:val="0"/>
        <w:adjustRightInd w:val="0"/>
        <w:ind w:firstLine="560" w:firstLineChars="200"/>
        <w:jc w:val="left"/>
        <w:rPr>
          <w:rFonts w:hint="eastAsia" w:ascii="仿宋_GB2312" w:hAnsi="宋体" w:eastAsia="仿宋_GB2312"/>
          <w:sz w:val="28"/>
          <w:szCs w:val="28"/>
          <w:lang w:eastAsia="zh-CN"/>
        </w:rPr>
      </w:pPr>
      <w:r>
        <w:rPr>
          <w:rFonts w:hint="eastAsia" w:ascii="仿宋_GB2312" w:hAnsi="宋体" w:eastAsia="仿宋_GB2312"/>
          <w:sz w:val="28"/>
          <w:szCs w:val="28"/>
        </w:rPr>
        <w:t>通过制定团体标准《广西林下中药材种植技术规程 第1部分：总则》，以标准为抓手，统一规范荔广西林下中药材种植技术的总体要求，用标准化手段，将能更好的</w:t>
      </w:r>
      <w:bookmarkStart w:id="3" w:name="_GoBack"/>
      <w:r>
        <w:rPr>
          <w:rFonts w:hint="eastAsia" w:ascii="仿宋_GB2312" w:hAnsi="宋体" w:eastAsia="仿宋_GB2312"/>
          <w:sz w:val="28"/>
          <w:szCs w:val="28"/>
        </w:rPr>
        <w:t>指导广西林下中药材种植生产，对促进区内林下中药材种植技术的推广应用，提高林下中药材种植技术水平，保障广西林下中药材质量和环境质量，对助推广西乡村振兴，促进广西林下中药材产业高质量发展具有重要意义</w:t>
      </w:r>
      <w:bookmarkEnd w:id="3"/>
      <w:r>
        <w:rPr>
          <w:rFonts w:hint="eastAsia" w:ascii="仿宋_GB2312" w:hAnsi="宋体" w:eastAsia="仿宋_GB2312"/>
          <w:sz w:val="28"/>
          <w:szCs w:val="28"/>
          <w:lang w:eastAsia="zh-CN"/>
        </w:rPr>
        <w:t>。</w:t>
      </w:r>
    </w:p>
    <w:p>
      <w:pPr>
        <w:autoSpaceDE w:val="0"/>
        <w:autoSpaceDN w:val="0"/>
        <w:adjustRightInd w:val="0"/>
        <w:ind w:firstLine="560" w:firstLineChars="200"/>
        <w:jc w:val="left"/>
        <w:rPr>
          <w:rFonts w:hint="eastAsia" w:ascii="仿宋_GB2312" w:hAnsi="宋体" w:eastAsia="仿宋_GB2312"/>
          <w:sz w:val="28"/>
          <w:szCs w:val="28"/>
          <w:lang w:eastAsia="zh-CN"/>
        </w:rPr>
      </w:pPr>
    </w:p>
    <w:p>
      <w:pPr>
        <w:autoSpaceDE w:val="0"/>
        <w:autoSpaceDN w:val="0"/>
        <w:adjustRightInd w:val="0"/>
        <w:ind w:firstLine="560" w:firstLineChars="200"/>
        <w:jc w:val="left"/>
        <w:rPr>
          <w:rFonts w:hint="eastAsia" w:ascii="仿宋_GB2312" w:hAnsi="宋体" w:eastAsia="仿宋_GB2312"/>
          <w:sz w:val="28"/>
          <w:szCs w:val="28"/>
          <w:lang w:eastAsia="zh-CN"/>
        </w:rPr>
      </w:pPr>
    </w:p>
    <w:p>
      <w:pPr>
        <w:autoSpaceDE w:val="0"/>
        <w:autoSpaceDN w:val="0"/>
        <w:adjustRightInd w:val="0"/>
        <w:ind w:firstLine="560" w:firstLineChars="200"/>
        <w:jc w:val="left"/>
        <w:rPr>
          <w:rFonts w:ascii="黑体" w:hAnsi="黑体" w:eastAsia="黑体" w:cs="仿宋_GB2312"/>
          <w:sz w:val="28"/>
          <w:szCs w:val="28"/>
        </w:rPr>
      </w:pPr>
      <w:r>
        <w:rPr>
          <w:rFonts w:hint="eastAsia" w:ascii="黑体" w:hAnsi="黑体" w:eastAsia="黑体" w:cs="仿宋_GB2312"/>
          <w:sz w:val="28"/>
          <w:szCs w:val="28"/>
        </w:rPr>
        <w:t>三、项目编制过程</w:t>
      </w:r>
    </w:p>
    <w:p>
      <w:pPr>
        <w:ind w:firstLine="562" w:firstLineChars="200"/>
        <w:rPr>
          <w:rFonts w:ascii="仿宋_GB2312" w:hAnsi="宋体" w:eastAsia="仿宋_GB2312"/>
          <w:sz w:val="28"/>
          <w:szCs w:val="28"/>
        </w:rPr>
      </w:pPr>
      <w:r>
        <w:rPr>
          <w:rFonts w:hint="eastAsia" w:ascii="仿宋_GB2312" w:hAnsi="仿宋_GB2312" w:eastAsia="仿宋_GB2312" w:cs="仿宋_GB2312"/>
          <w:b/>
          <w:sz w:val="28"/>
          <w:szCs w:val="28"/>
        </w:rPr>
        <w:t>（一）成立标准编制工作组</w:t>
      </w:r>
    </w:p>
    <w:p>
      <w:pPr>
        <w:ind w:firstLine="560" w:firstLineChars="200"/>
        <w:rPr>
          <w:rFonts w:ascii="仿宋_GB2312" w:hAnsi="宋体" w:eastAsia="仿宋_GB2312"/>
          <w:sz w:val="28"/>
          <w:szCs w:val="28"/>
        </w:rPr>
      </w:pPr>
      <w:r>
        <w:rPr>
          <w:rFonts w:hint="eastAsia" w:ascii="仿宋_GB2312" w:hAnsi="宋体" w:eastAsia="仿宋_GB2312"/>
          <w:sz w:val="28"/>
          <w:szCs w:val="28"/>
        </w:rPr>
        <w:t>团体标准《</w:t>
      </w:r>
      <w:r>
        <w:rPr>
          <w:rFonts w:hint="eastAsia" w:ascii="仿宋_GB2312" w:hAnsi="宋体" w:eastAsia="仿宋_GB2312"/>
          <w:sz w:val="28"/>
          <w:szCs w:val="28"/>
          <w:lang w:eastAsia="zh-CN"/>
        </w:rPr>
        <w:t>广西林下中药材种植技术规程  第1部分：总则</w:t>
      </w:r>
      <w:r>
        <w:rPr>
          <w:rFonts w:hint="eastAsia" w:ascii="仿宋_GB2312" w:hAnsi="宋体" w:eastAsia="仿宋_GB2312"/>
          <w:sz w:val="28"/>
          <w:szCs w:val="28"/>
        </w:rPr>
        <w:t>》项目任务下达后，</w:t>
      </w:r>
      <w:r>
        <w:rPr>
          <w:rFonts w:hint="eastAsia" w:ascii="仿宋_GB2312" w:hAnsi="宋体" w:eastAsia="仿宋_GB2312"/>
          <w:sz w:val="28"/>
          <w:szCs w:val="28"/>
          <w:lang w:eastAsia="zh-CN"/>
        </w:rPr>
        <w:t>广西林下经济产业协会</w:t>
      </w:r>
      <w:r>
        <w:rPr>
          <w:rFonts w:hint="eastAsia" w:ascii="仿宋_GB2312" w:hAnsi="宋体" w:eastAsia="仿宋_GB2312"/>
          <w:sz w:val="28"/>
          <w:szCs w:val="28"/>
        </w:rPr>
        <w:t>成立了标准编制工作组，起草单位制定了起草编写方案与进度安排，明确任务职责，确定工作技术路线，开展标准研制工作。具体标准编制工作由</w:t>
      </w:r>
      <w:r>
        <w:rPr>
          <w:rFonts w:hint="eastAsia" w:ascii="仿宋_GB2312" w:hAnsi="宋体" w:eastAsia="仿宋_GB2312"/>
          <w:sz w:val="28"/>
          <w:szCs w:val="28"/>
          <w:lang w:eastAsia="zh-CN"/>
        </w:rPr>
        <w:t>广西林下经济产业协会、广西壮族自治区药用植物、广西壮族自治区林业科学研究院、良凤江树木园</w:t>
      </w:r>
      <w:r>
        <w:rPr>
          <w:rFonts w:hint="eastAsia" w:ascii="仿宋_GB2312" w:hAnsi="宋体" w:eastAsia="仿宋_GB2312"/>
          <w:sz w:val="28"/>
          <w:szCs w:val="28"/>
        </w:rPr>
        <w:t>组成标准编制工作组。</w:t>
      </w:r>
    </w:p>
    <w:p>
      <w:pPr>
        <w:ind w:firstLine="560" w:firstLineChars="200"/>
        <w:rPr>
          <w:rFonts w:ascii="仿宋_GB2312" w:hAnsi="宋体" w:eastAsia="仿宋_GB2312"/>
          <w:sz w:val="28"/>
          <w:szCs w:val="28"/>
        </w:rPr>
      </w:pPr>
      <w:r>
        <w:rPr>
          <w:rFonts w:hint="eastAsia" w:ascii="仿宋_GB2312" w:hAnsi="宋体" w:eastAsia="仿宋_GB2312"/>
          <w:sz w:val="28"/>
          <w:szCs w:val="28"/>
        </w:rPr>
        <w:t>编制工作组下设三个组，分别是资料收集组、草案编写组、标准实施组。</w:t>
      </w:r>
    </w:p>
    <w:p>
      <w:pPr>
        <w:ind w:firstLine="560" w:firstLineChars="200"/>
        <w:rPr>
          <w:rFonts w:ascii="仿宋_GB2312" w:hAnsi="宋体" w:eastAsia="仿宋_GB2312"/>
          <w:sz w:val="28"/>
          <w:szCs w:val="28"/>
        </w:rPr>
      </w:pPr>
      <w:r>
        <w:rPr>
          <w:rFonts w:hint="eastAsia" w:ascii="仿宋_GB2312" w:hAnsi="宋体" w:eastAsia="仿宋_GB2312"/>
          <w:sz w:val="28"/>
          <w:szCs w:val="28"/>
        </w:rPr>
        <w:t>资料收集组负责国内外有关</w:t>
      </w:r>
      <w:r>
        <w:rPr>
          <w:rFonts w:hint="eastAsia" w:ascii="仿宋_GB2312" w:hAnsi="宋体" w:eastAsia="仿宋_GB2312"/>
          <w:sz w:val="28"/>
          <w:szCs w:val="28"/>
          <w:lang w:eastAsia="zh-CN"/>
        </w:rPr>
        <w:t>林下中药材种植</w:t>
      </w:r>
      <w:r>
        <w:rPr>
          <w:rFonts w:hint="eastAsia" w:ascii="仿宋_GB2312" w:hAnsi="宋体" w:eastAsia="仿宋_GB2312"/>
          <w:sz w:val="28"/>
          <w:szCs w:val="28"/>
        </w:rPr>
        <w:t>技术的文献资料的查询、收集和整理工作，查阅前人对</w:t>
      </w:r>
      <w:r>
        <w:rPr>
          <w:rFonts w:hint="eastAsia" w:ascii="仿宋_GB2312" w:hAnsi="宋体" w:eastAsia="仿宋_GB2312"/>
          <w:sz w:val="28"/>
          <w:szCs w:val="28"/>
          <w:lang w:eastAsia="zh-CN"/>
        </w:rPr>
        <w:t>林下中药材种植</w:t>
      </w:r>
      <w:r>
        <w:rPr>
          <w:rFonts w:hint="eastAsia" w:ascii="仿宋_GB2312" w:hAnsi="宋体" w:eastAsia="仿宋_GB2312"/>
          <w:sz w:val="28"/>
          <w:szCs w:val="28"/>
        </w:rPr>
        <w:t>技术的研究情况和目前科学界对</w:t>
      </w:r>
      <w:r>
        <w:rPr>
          <w:rFonts w:hint="eastAsia" w:ascii="仿宋_GB2312" w:hAnsi="宋体" w:eastAsia="仿宋_GB2312"/>
          <w:sz w:val="28"/>
          <w:szCs w:val="28"/>
          <w:lang w:eastAsia="zh-CN"/>
        </w:rPr>
        <w:t>林下中药材种植</w:t>
      </w:r>
      <w:r>
        <w:rPr>
          <w:rFonts w:hint="eastAsia" w:ascii="仿宋_GB2312" w:hAnsi="宋体" w:eastAsia="仿宋_GB2312"/>
          <w:sz w:val="28"/>
          <w:szCs w:val="28"/>
        </w:rPr>
        <w:t>技术的研究进展。</w:t>
      </w:r>
    </w:p>
    <w:p>
      <w:pPr>
        <w:ind w:firstLine="560" w:firstLineChars="200"/>
        <w:rPr>
          <w:rFonts w:ascii="仿宋_GB2312" w:hAnsi="宋体" w:eastAsia="仿宋_GB2312"/>
          <w:sz w:val="28"/>
          <w:szCs w:val="28"/>
        </w:rPr>
      </w:pPr>
      <w:r>
        <w:rPr>
          <w:rFonts w:hint="eastAsia" w:ascii="仿宋_GB2312" w:hAnsi="宋体" w:eastAsia="仿宋_GB2312"/>
          <w:sz w:val="28"/>
          <w:szCs w:val="28"/>
        </w:rPr>
        <w:t>草案编写组负责起草标准草案、征求意见稿和标准编制说明、送审稿及编制说明的编写工作，包括后期召开征求意见会、网上征求意见，以及标准的不断修改和完善。</w:t>
      </w:r>
    </w:p>
    <w:p>
      <w:pPr>
        <w:ind w:firstLine="560" w:firstLineChars="200"/>
        <w:rPr>
          <w:rFonts w:ascii="仿宋_GB2312" w:hAnsi="宋体" w:eastAsia="仿宋_GB2312"/>
          <w:sz w:val="28"/>
          <w:szCs w:val="28"/>
        </w:rPr>
      </w:pPr>
      <w:r>
        <w:rPr>
          <w:rFonts w:hint="eastAsia" w:ascii="仿宋_GB2312" w:hAnsi="宋体" w:eastAsia="仿宋_GB2312"/>
          <w:sz w:val="28"/>
          <w:szCs w:val="28"/>
        </w:rPr>
        <w:t>标准实施组负责《</w:t>
      </w:r>
      <w:r>
        <w:rPr>
          <w:rFonts w:hint="eastAsia" w:ascii="仿宋_GB2312" w:hAnsi="宋体" w:eastAsia="仿宋_GB2312"/>
          <w:sz w:val="28"/>
          <w:szCs w:val="28"/>
          <w:lang w:eastAsia="zh-CN"/>
        </w:rPr>
        <w:t>广西林下中药材种植技术规程  第1部分：总则</w:t>
      </w:r>
      <w:r>
        <w:rPr>
          <w:rFonts w:hint="eastAsia" w:ascii="仿宋_GB2312" w:hAnsi="宋体" w:eastAsia="仿宋_GB2312"/>
          <w:sz w:val="28"/>
          <w:szCs w:val="28"/>
        </w:rPr>
        <w:t>》团体标准发布后，组织</w:t>
      </w:r>
      <w:r>
        <w:rPr>
          <w:rFonts w:hint="eastAsia" w:ascii="仿宋_GB2312" w:hAnsi="宋体" w:eastAsia="仿宋_GB2312"/>
          <w:sz w:val="28"/>
          <w:szCs w:val="28"/>
          <w:lang w:eastAsia="zh-CN"/>
        </w:rPr>
        <w:t>林下中药材种植</w:t>
      </w:r>
      <w:r>
        <w:rPr>
          <w:rFonts w:hint="eastAsia" w:ascii="仿宋_GB2312" w:hAnsi="宋体" w:eastAsia="仿宋_GB2312"/>
          <w:sz w:val="28"/>
          <w:szCs w:val="28"/>
        </w:rPr>
        <w:t>企业、</w:t>
      </w:r>
      <w:r>
        <w:rPr>
          <w:rFonts w:hint="eastAsia" w:ascii="仿宋_GB2312" w:hAnsi="宋体" w:eastAsia="仿宋_GB2312"/>
          <w:sz w:val="28"/>
          <w:szCs w:val="28"/>
          <w:lang w:eastAsia="zh-CN"/>
        </w:rPr>
        <w:t>广西林下中药材</w:t>
      </w:r>
      <w:r>
        <w:rPr>
          <w:rFonts w:hint="eastAsia" w:ascii="仿宋_GB2312" w:hAnsi="宋体" w:eastAsia="仿宋_GB2312"/>
          <w:sz w:val="28"/>
          <w:szCs w:val="28"/>
        </w:rPr>
        <w:t>种植户开展标准宣贯培训会，对标准进行详细解读，让相关人员了解标准，并根据标准对</w:t>
      </w:r>
      <w:r>
        <w:rPr>
          <w:rFonts w:hint="eastAsia" w:ascii="仿宋_GB2312" w:hAnsi="宋体" w:eastAsia="仿宋_GB2312"/>
          <w:sz w:val="28"/>
          <w:szCs w:val="28"/>
          <w:lang w:eastAsia="zh-CN"/>
        </w:rPr>
        <w:t>林下中药材种植</w:t>
      </w:r>
      <w:r>
        <w:rPr>
          <w:rFonts w:hint="eastAsia" w:ascii="仿宋_GB2312" w:hAnsi="宋体" w:eastAsia="仿宋_GB2312"/>
          <w:sz w:val="28"/>
          <w:szCs w:val="28"/>
        </w:rPr>
        <w:t>技术的</w:t>
      </w:r>
      <w:r>
        <w:rPr>
          <w:rFonts w:hint="eastAsia" w:ascii="仿宋_GB2312" w:hAnsi="宋体" w:eastAsia="仿宋_GB2312"/>
          <w:sz w:val="28"/>
          <w:szCs w:val="28"/>
          <w:lang w:eastAsia="zh-CN"/>
        </w:rPr>
        <w:t>栽培</w:t>
      </w:r>
      <w:r>
        <w:rPr>
          <w:rFonts w:hint="eastAsia" w:ascii="仿宋_GB2312" w:hAnsi="宋体" w:eastAsia="仿宋_GB2312"/>
          <w:sz w:val="28"/>
          <w:szCs w:val="28"/>
        </w:rPr>
        <w:t>过程卫生要求、设备及工具要求、原料要求、</w:t>
      </w:r>
      <w:r>
        <w:rPr>
          <w:rFonts w:hint="eastAsia" w:ascii="仿宋_GB2312" w:hAnsi="宋体" w:eastAsia="仿宋_GB2312"/>
          <w:sz w:val="28"/>
          <w:szCs w:val="28"/>
          <w:lang w:eastAsia="zh-CN"/>
        </w:rPr>
        <w:t>栽培</w:t>
      </w:r>
      <w:r>
        <w:rPr>
          <w:rFonts w:hint="eastAsia" w:ascii="仿宋_GB2312" w:hAnsi="宋体" w:eastAsia="仿宋_GB2312"/>
          <w:sz w:val="28"/>
          <w:szCs w:val="28"/>
        </w:rPr>
        <w:t>工艺等进行规范化操作，保证</w:t>
      </w:r>
      <w:r>
        <w:rPr>
          <w:rFonts w:hint="eastAsia" w:ascii="仿宋_GB2312" w:hAnsi="宋体" w:eastAsia="仿宋_GB2312"/>
          <w:sz w:val="28"/>
          <w:szCs w:val="28"/>
          <w:lang w:eastAsia="zh-CN"/>
        </w:rPr>
        <w:t>广西林下中药材</w:t>
      </w:r>
      <w:r>
        <w:rPr>
          <w:rFonts w:hint="eastAsia" w:ascii="仿宋_GB2312" w:hAnsi="宋体" w:eastAsia="仿宋_GB2312"/>
          <w:sz w:val="28"/>
          <w:szCs w:val="28"/>
        </w:rPr>
        <w:t>的</w:t>
      </w:r>
      <w:r>
        <w:rPr>
          <w:rFonts w:hint="eastAsia" w:ascii="仿宋_GB2312" w:hAnsi="宋体" w:eastAsia="仿宋_GB2312"/>
          <w:sz w:val="28"/>
          <w:szCs w:val="28"/>
          <w:lang w:eastAsia="zh-CN"/>
        </w:rPr>
        <w:t>栽培</w:t>
      </w:r>
      <w:r>
        <w:rPr>
          <w:rFonts w:hint="eastAsia" w:ascii="仿宋_GB2312" w:hAnsi="宋体" w:eastAsia="仿宋_GB2312"/>
          <w:sz w:val="28"/>
          <w:szCs w:val="28"/>
        </w:rPr>
        <w:t>生产质量，并对标准实施情况进行总结分析，不断对团体标准提出修正意见。</w:t>
      </w:r>
    </w:p>
    <w:p>
      <w:pPr>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（二）收集整理文献资料</w:t>
      </w:r>
    </w:p>
    <w:p>
      <w:pPr>
        <w:ind w:firstLine="560" w:firstLineChars="200"/>
        <w:rPr>
          <w:rFonts w:ascii="仿宋_GB2312" w:hAnsi="宋体" w:eastAsia="仿宋_GB2312"/>
          <w:sz w:val="28"/>
          <w:szCs w:val="28"/>
        </w:rPr>
      </w:pPr>
      <w:r>
        <w:rPr>
          <w:rFonts w:hint="eastAsia" w:ascii="仿宋_GB2312" w:hAnsi="宋体" w:eastAsia="仿宋_GB2312"/>
          <w:sz w:val="28"/>
          <w:szCs w:val="28"/>
        </w:rPr>
        <w:t>标准编制工作组收集了国内有关</w:t>
      </w:r>
      <w:r>
        <w:rPr>
          <w:rFonts w:hint="eastAsia" w:ascii="仿宋_GB2312" w:hAnsi="宋体" w:eastAsia="仿宋_GB2312"/>
          <w:sz w:val="28"/>
          <w:szCs w:val="28"/>
          <w:lang w:eastAsia="zh-CN"/>
        </w:rPr>
        <w:t>广西林下中药材种植技术</w:t>
      </w:r>
      <w:r>
        <w:rPr>
          <w:rFonts w:hint="eastAsia" w:ascii="仿宋_GB2312" w:hAnsi="宋体" w:eastAsia="仿宋_GB2312"/>
          <w:sz w:val="28"/>
          <w:szCs w:val="28"/>
        </w:rPr>
        <w:t>相关文献资料。主要有：</w:t>
      </w:r>
    </w:p>
    <w:p>
      <w:pPr>
        <w:ind w:firstLine="560" w:firstLineChars="200"/>
        <w:rPr>
          <w:rFonts w:hint="eastAsia" w:ascii="仿宋_GB2312" w:hAnsi="宋体" w:eastAsia="仿宋_GB2312"/>
          <w:sz w:val="28"/>
          <w:szCs w:val="28"/>
          <w:lang w:bidi="zh-CN"/>
        </w:rPr>
      </w:pPr>
      <w:r>
        <w:rPr>
          <w:rFonts w:hint="eastAsia" w:ascii="仿宋_GB2312" w:hAnsi="宋体" w:eastAsia="仿宋_GB2312"/>
          <w:sz w:val="28"/>
          <w:szCs w:val="28"/>
          <w:lang w:bidi="zh-CN"/>
        </w:rPr>
        <w:t>GB 5084  农田灌溉水质标准</w:t>
      </w:r>
    </w:p>
    <w:p>
      <w:pPr>
        <w:ind w:firstLine="560" w:firstLineChars="200"/>
        <w:rPr>
          <w:rFonts w:hint="eastAsia" w:ascii="仿宋_GB2312" w:hAnsi="宋体" w:eastAsia="仿宋_GB2312"/>
          <w:sz w:val="28"/>
          <w:szCs w:val="28"/>
          <w:lang w:bidi="zh-CN"/>
        </w:rPr>
      </w:pPr>
      <w:r>
        <w:rPr>
          <w:rFonts w:hint="eastAsia" w:ascii="仿宋_GB2312" w:hAnsi="宋体" w:eastAsia="仿宋_GB2312"/>
          <w:sz w:val="28"/>
          <w:szCs w:val="28"/>
          <w:lang w:bidi="zh-CN"/>
        </w:rPr>
        <w:t>NY/T 393  绿色食品  农药使用准则</w:t>
      </w:r>
    </w:p>
    <w:p>
      <w:pPr>
        <w:ind w:firstLine="560" w:firstLineChars="200"/>
        <w:rPr>
          <w:rFonts w:hint="eastAsia" w:ascii="仿宋_GB2312" w:hAnsi="宋体" w:eastAsia="仿宋_GB2312"/>
          <w:sz w:val="28"/>
          <w:szCs w:val="28"/>
          <w:lang w:bidi="zh-CN"/>
        </w:rPr>
      </w:pPr>
      <w:r>
        <w:rPr>
          <w:rFonts w:hint="eastAsia" w:ascii="仿宋_GB2312" w:hAnsi="宋体" w:eastAsia="仿宋_GB2312"/>
          <w:sz w:val="28"/>
          <w:szCs w:val="28"/>
          <w:lang w:bidi="zh-CN"/>
        </w:rPr>
        <w:t>NY/T 394  绿色食品  肥料使用准则</w:t>
      </w:r>
    </w:p>
    <w:p>
      <w:pPr>
        <w:ind w:firstLine="560" w:firstLineChars="200"/>
        <w:rPr>
          <w:rFonts w:hint="eastAsia" w:ascii="仿宋_GB2312" w:hAnsi="宋体" w:eastAsia="仿宋_GB2312"/>
          <w:sz w:val="28"/>
          <w:szCs w:val="28"/>
          <w:lang w:bidi="zh-CN"/>
        </w:rPr>
      </w:pPr>
      <w:r>
        <w:rPr>
          <w:rFonts w:hint="eastAsia" w:ascii="仿宋_GB2312" w:hAnsi="宋体" w:eastAsia="仿宋_GB2312"/>
          <w:sz w:val="28"/>
          <w:szCs w:val="28"/>
          <w:lang w:bidi="zh-CN"/>
        </w:rPr>
        <w:t>DB45/T 532  无公害中药材  产地环境条件</w:t>
      </w:r>
    </w:p>
    <w:p>
      <w:pPr>
        <w:ind w:firstLine="560" w:firstLineChars="200"/>
        <w:rPr>
          <w:rFonts w:ascii="仿宋_GB2312" w:hAnsi="宋体" w:eastAsia="仿宋_GB2312"/>
          <w:sz w:val="28"/>
          <w:szCs w:val="28"/>
          <w:lang w:bidi="zh-CN"/>
        </w:rPr>
      </w:pPr>
      <w:r>
        <w:rPr>
          <w:rFonts w:hint="eastAsia" w:ascii="仿宋_GB2312" w:hAnsi="宋体" w:eastAsia="仿宋_GB2312"/>
          <w:sz w:val="28"/>
          <w:szCs w:val="28"/>
          <w:lang w:bidi="zh-CN"/>
        </w:rPr>
        <w:t>中华人民共和国药典  一部（2020年版）</w:t>
      </w:r>
    </w:p>
    <w:p>
      <w:pPr>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（三）研讨确定标准主体内容</w:t>
      </w:r>
    </w:p>
    <w:p>
      <w:pPr>
        <w:ind w:firstLine="560" w:firstLineChars="200"/>
        <w:rPr>
          <w:rFonts w:ascii="仿宋_GB2312" w:hAnsi="宋体" w:eastAsia="仿宋_GB2312"/>
          <w:sz w:val="28"/>
          <w:szCs w:val="28"/>
        </w:rPr>
      </w:pPr>
      <w:r>
        <w:rPr>
          <w:rFonts w:hint="eastAsia" w:ascii="仿宋_GB2312" w:hAnsi="宋体" w:eastAsia="仿宋_GB2312"/>
          <w:sz w:val="28"/>
          <w:szCs w:val="28"/>
        </w:rPr>
        <w:t>标准编制工作组在对收集的资料进行整理研究之后，2021年6月，标准编制工作组召开了标准编制会议，对标准的整体框架结构进行了研究，并对标准的关键性内容进行了初步探讨。经过研究，标准的主体内容确定为</w:t>
      </w:r>
      <w:r>
        <w:rPr>
          <w:rFonts w:hint="eastAsia" w:ascii="仿宋_GB2312" w:hAnsi="宋体" w:eastAsia="仿宋_GB2312"/>
          <w:sz w:val="28"/>
          <w:szCs w:val="28"/>
          <w:lang w:eastAsia="zh-CN"/>
        </w:rPr>
        <w:t>界定了林下中药材种植的术语和定义，规定了基本原则、种植原则、采收与加工、包装、贮藏与运输、质量要求、档案管理的要求</w:t>
      </w:r>
      <w:r>
        <w:rPr>
          <w:rFonts w:hint="eastAsia" w:ascii="仿宋_GB2312" w:hAnsi="宋体" w:eastAsia="仿宋_GB2312"/>
          <w:sz w:val="28"/>
          <w:szCs w:val="28"/>
        </w:rPr>
        <w:t>。</w:t>
      </w:r>
    </w:p>
    <w:p>
      <w:pPr>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（四）调研、形成征求意见稿</w:t>
      </w:r>
    </w:p>
    <w:p>
      <w:pPr>
        <w:ind w:firstLine="560" w:firstLineChars="200"/>
        <w:rPr>
          <w:rFonts w:ascii="仿宋_GB2312" w:hAnsi="宋体" w:eastAsia="仿宋_GB2312"/>
          <w:sz w:val="28"/>
          <w:szCs w:val="28"/>
        </w:rPr>
      </w:pPr>
      <w:r>
        <w:rPr>
          <w:rFonts w:hint="eastAsia" w:ascii="仿宋_GB2312" w:hAnsi="宋体" w:eastAsia="仿宋_GB2312"/>
          <w:sz w:val="28"/>
          <w:szCs w:val="28"/>
        </w:rPr>
        <w:t>2021年7月，标准起草工作小组进行了广泛实地调研工作，查阅了大量的国内外文献资料，对</w:t>
      </w:r>
      <w:r>
        <w:rPr>
          <w:rFonts w:hint="eastAsia" w:ascii="仿宋_GB2312" w:hAnsi="宋体" w:eastAsia="仿宋_GB2312"/>
          <w:sz w:val="28"/>
          <w:szCs w:val="28"/>
          <w:lang w:eastAsia="zh-CN"/>
        </w:rPr>
        <w:t>林下中药材种植</w:t>
      </w:r>
      <w:r>
        <w:rPr>
          <w:rFonts w:hint="eastAsia" w:ascii="仿宋_GB2312" w:hAnsi="宋体" w:eastAsia="仿宋_GB2312"/>
          <w:sz w:val="28"/>
          <w:szCs w:val="28"/>
        </w:rPr>
        <w:t>技术的前人研究成果进行系统总结。形成了标准的基本构架，对主要内容进行了讨论并对项目的工作进行了部署和安排。</w:t>
      </w:r>
    </w:p>
    <w:p>
      <w:pPr>
        <w:ind w:firstLine="560" w:firstLineChars="200"/>
        <w:rPr>
          <w:rFonts w:ascii="仿宋_GB2312" w:hAnsi="宋体" w:eastAsia="仿宋_GB2312"/>
          <w:sz w:val="28"/>
          <w:szCs w:val="28"/>
        </w:rPr>
      </w:pPr>
      <w:r>
        <w:rPr>
          <w:rFonts w:hint="eastAsia" w:ascii="仿宋_GB2312" w:hAnsi="宋体" w:eastAsia="仿宋_GB2312"/>
          <w:sz w:val="28"/>
          <w:szCs w:val="28"/>
        </w:rPr>
        <w:t>2021年8月，在前期工作的基础之上，通过理清逻辑脉络，整合已有的参考资料中有关</w:t>
      </w:r>
      <w:r>
        <w:rPr>
          <w:rFonts w:hint="eastAsia" w:ascii="仿宋_GB2312" w:hAnsi="宋体" w:eastAsia="仿宋_GB2312"/>
          <w:sz w:val="28"/>
          <w:szCs w:val="28"/>
          <w:lang w:eastAsia="zh-CN"/>
        </w:rPr>
        <w:t>林下中药材种植</w:t>
      </w:r>
      <w:r>
        <w:rPr>
          <w:rFonts w:hint="eastAsia" w:ascii="仿宋_GB2312" w:hAnsi="宋体" w:eastAsia="仿宋_GB2312"/>
          <w:sz w:val="28"/>
          <w:szCs w:val="28"/>
        </w:rPr>
        <w:t>的技术要求，并结合</w:t>
      </w:r>
      <w:r>
        <w:rPr>
          <w:rFonts w:hint="eastAsia" w:ascii="仿宋_GB2312" w:hAnsi="宋体" w:eastAsia="仿宋_GB2312"/>
          <w:sz w:val="28"/>
          <w:szCs w:val="28"/>
          <w:lang w:eastAsia="zh-CN"/>
        </w:rPr>
        <w:t>林下中药材种植</w:t>
      </w:r>
      <w:r>
        <w:rPr>
          <w:rFonts w:hint="eastAsia" w:ascii="仿宋_GB2312" w:hAnsi="宋体" w:eastAsia="仿宋_GB2312"/>
          <w:sz w:val="28"/>
          <w:szCs w:val="28"/>
        </w:rPr>
        <w:t>实际要求的基础上，按照简化、统一等原则编制完成团体标准《</w:t>
      </w:r>
      <w:r>
        <w:rPr>
          <w:rFonts w:hint="eastAsia" w:ascii="仿宋_GB2312" w:hAnsi="宋体" w:eastAsia="仿宋_GB2312"/>
          <w:sz w:val="28"/>
          <w:szCs w:val="28"/>
          <w:lang w:eastAsia="zh-CN"/>
        </w:rPr>
        <w:t>广西林下中药材种植技术规程  第1部分：总则</w:t>
      </w:r>
      <w:r>
        <w:rPr>
          <w:rFonts w:hint="eastAsia" w:ascii="仿宋_GB2312" w:hAnsi="宋体" w:eastAsia="仿宋_GB2312"/>
          <w:sz w:val="28"/>
          <w:szCs w:val="28"/>
        </w:rPr>
        <w:t>》（草案）。</w:t>
      </w:r>
    </w:p>
    <w:p>
      <w:pPr>
        <w:ind w:firstLine="560" w:firstLineChars="200"/>
        <w:rPr>
          <w:rFonts w:ascii="仿宋_GB2312" w:hAnsi="宋体" w:eastAsia="仿宋_GB2312"/>
          <w:sz w:val="28"/>
          <w:szCs w:val="28"/>
        </w:rPr>
      </w:pPr>
      <w:r>
        <w:rPr>
          <w:rFonts w:hint="eastAsia" w:ascii="仿宋_GB2312" w:hAnsi="宋体" w:eastAsia="仿宋_GB2312"/>
          <w:sz w:val="28"/>
          <w:szCs w:val="28"/>
        </w:rPr>
        <w:t>2021年9</w:t>
      </w:r>
      <w:r>
        <w:rPr>
          <w:rFonts w:hint="eastAsia" w:ascii="仿宋_GB2312" w:hAnsi="宋体" w:eastAsia="仿宋_GB2312"/>
          <w:sz w:val="28"/>
          <w:szCs w:val="28"/>
          <w:lang w:val="en-US" w:eastAsia="zh-CN"/>
        </w:rPr>
        <w:t>-10</w:t>
      </w:r>
      <w:r>
        <w:rPr>
          <w:rFonts w:hint="eastAsia" w:ascii="仿宋_GB2312" w:hAnsi="宋体" w:eastAsia="仿宋_GB2312"/>
          <w:sz w:val="28"/>
          <w:szCs w:val="28"/>
        </w:rPr>
        <w:t>月，标准起草工作组再次深入区内涉及</w:t>
      </w:r>
      <w:r>
        <w:rPr>
          <w:rFonts w:hint="eastAsia" w:ascii="仿宋_GB2312" w:hAnsi="宋体" w:eastAsia="仿宋_GB2312"/>
          <w:sz w:val="28"/>
          <w:szCs w:val="28"/>
          <w:lang w:eastAsia="zh-CN"/>
        </w:rPr>
        <w:t>林下中药材种植</w:t>
      </w:r>
      <w:r>
        <w:rPr>
          <w:rFonts w:hint="eastAsia" w:ascii="仿宋_GB2312" w:hAnsi="宋体" w:eastAsia="仿宋_GB2312"/>
          <w:sz w:val="28"/>
          <w:szCs w:val="28"/>
        </w:rPr>
        <w:t>销售的有代表性的农户、企业</w:t>
      </w:r>
      <w:r>
        <w:rPr>
          <w:rFonts w:hint="eastAsia" w:ascii="仿宋_GB2312" w:hAnsi="宋体" w:eastAsia="仿宋_GB2312"/>
          <w:sz w:val="28"/>
          <w:szCs w:val="28"/>
          <w:lang w:eastAsia="zh-CN"/>
        </w:rPr>
        <w:t>、科研单位等</w:t>
      </w:r>
      <w:r>
        <w:rPr>
          <w:rFonts w:hint="eastAsia" w:ascii="仿宋_GB2312" w:hAnsi="宋体" w:eastAsia="仿宋_GB2312"/>
          <w:sz w:val="28"/>
          <w:szCs w:val="28"/>
        </w:rPr>
        <w:t>针对</w:t>
      </w:r>
      <w:r>
        <w:rPr>
          <w:rFonts w:hint="eastAsia" w:ascii="仿宋_GB2312" w:hAnsi="宋体" w:eastAsia="仿宋_GB2312"/>
          <w:sz w:val="28"/>
          <w:szCs w:val="28"/>
          <w:lang w:eastAsia="zh-CN"/>
        </w:rPr>
        <w:t>广西林下中药材种植</w:t>
      </w:r>
      <w:r>
        <w:rPr>
          <w:rFonts w:hint="eastAsia" w:ascii="仿宋_GB2312" w:hAnsi="宋体" w:eastAsia="仿宋_GB2312"/>
          <w:sz w:val="28"/>
          <w:szCs w:val="28"/>
        </w:rPr>
        <w:t>情况进行分组实地调研学习。通过实地调研，掌握各地方关于</w:t>
      </w:r>
      <w:r>
        <w:rPr>
          <w:rFonts w:hint="eastAsia" w:ascii="仿宋_GB2312" w:hAnsi="宋体" w:eastAsia="仿宋_GB2312"/>
          <w:sz w:val="28"/>
          <w:szCs w:val="28"/>
          <w:lang w:eastAsia="zh-CN"/>
        </w:rPr>
        <w:t>广西林下中药材种植</w:t>
      </w:r>
      <w:r>
        <w:rPr>
          <w:rFonts w:hint="eastAsia" w:ascii="仿宋_GB2312" w:hAnsi="宋体" w:eastAsia="仿宋_GB2312"/>
          <w:sz w:val="28"/>
          <w:szCs w:val="28"/>
        </w:rPr>
        <w:t>的具体技术要求。并实际征求意见，通过收集反馈了大量意见，标准编制工作组多次召开会议，对标准草案进行了反复修改和研究讨论。进一步讨论完善标准草案，形成团体标准《</w:t>
      </w:r>
      <w:r>
        <w:rPr>
          <w:rFonts w:hint="eastAsia" w:ascii="仿宋_GB2312" w:hAnsi="宋体" w:eastAsia="仿宋_GB2312"/>
          <w:sz w:val="28"/>
          <w:szCs w:val="28"/>
          <w:lang w:eastAsia="zh-CN"/>
        </w:rPr>
        <w:t>广西林下中药材种植技术规程  第1部分：总则</w:t>
      </w:r>
      <w:r>
        <w:rPr>
          <w:rFonts w:hint="eastAsia" w:ascii="仿宋_GB2312" w:hAnsi="宋体" w:eastAsia="仿宋_GB2312"/>
          <w:sz w:val="28"/>
          <w:szCs w:val="28"/>
        </w:rPr>
        <w:t>》（征求意见稿）和（征求意见稿）编制说明。</w:t>
      </w:r>
    </w:p>
    <w:p>
      <w:pPr>
        <w:autoSpaceDE w:val="0"/>
        <w:autoSpaceDN w:val="0"/>
        <w:adjustRightInd w:val="0"/>
        <w:ind w:firstLine="640" w:firstLineChars="200"/>
        <w:jc w:val="left"/>
        <w:rPr>
          <w:rFonts w:ascii="黑体" w:hAnsi="黑体" w:eastAsia="黑体" w:cs="仿宋_GB2312"/>
          <w:sz w:val="32"/>
          <w:szCs w:val="32"/>
        </w:rPr>
      </w:pPr>
      <w:bookmarkStart w:id="0" w:name="_Toc526940083"/>
      <w:r>
        <w:rPr>
          <w:rFonts w:hint="eastAsia" w:ascii="黑体" w:hAnsi="黑体" w:eastAsia="黑体" w:cs="仿宋_GB2312"/>
          <w:sz w:val="32"/>
          <w:szCs w:val="32"/>
        </w:rPr>
        <w:t>四、标准制定原则</w:t>
      </w:r>
      <w:bookmarkEnd w:id="0"/>
    </w:p>
    <w:p>
      <w:pPr>
        <w:ind w:firstLine="560" w:firstLineChars="200"/>
        <w:rPr>
          <w:rFonts w:ascii="仿宋_GB2312" w:hAnsi="宋体" w:eastAsia="仿宋_GB2312"/>
          <w:sz w:val="28"/>
          <w:szCs w:val="28"/>
        </w:rPr>
      </w:pPr>
      <w:r>
        <w:rPr>
          <w:rFonts w:hint="eastAsia" w:ascii="仿宋_GB2312" w:hAnsi="宋体" w:eastAsia="仿宋_GB2312"/>
          <w:sz w:val="28"/>
          <w:szCs w:val="28"/>
        </w:rPr>
        <w:t>1、实用性原则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本文件是在充分收集相关资料和文献，分析</w:t>
      </w:r>
      <w:r>
        <w:rPr>
          <w:rFonts w:hint="eastAsia" w:ascii="仿宋_GB2312" w:hAnsi="宋体" w:eastAsia="仿宋_GB2312"/>
          <w:sz w:val="28"/>
          <w:szCs w:val="28"/>
          <w:lang w:eastAsia="zh-CN"/>
        </w:rPr>
        <w:t>林下中药材种植</w:t>
      </w:r>
      <w:r>
        <w:rPr>
          <w:rFonts w:hint="eastAsia" w:ascii="仿宋_GB2312" w:hAnsi="宋体" w:eastAsia="仿宋_GB2312"/>
          <w:sz w:val="28"/>
          <w:szCs w:val="28"/>
        </w:rPr>
        <w:t>技术当前现状，调研各</w:t>
      </w:r>
      <w:r>
        <w:rPr>
          <w:rFonts w:hint="eastAsia" w:ascii="仿宋_GB2312" w:hAnsi="宋体" w:eastAsia="仿宋_GB2312"/>
          <w:sz w:val="28"/>
          <w:szCs w:val="28"/>
          <w:lang w:eastAsia="zh-CN"/>
        </w:rPr>
        <w:t>广西林下中药材</w:t>
      </w:r>
      <w:r>
        <w:rPr>
          <w:rFonts w:hint="eastAsia" w:ascii="仿宋_GB2312" w:hAnsi="宋体" w:eastAsia="仿宋_GB2312"/>
          <w:sz w:val="28"/>
          <w:szCs w:val="28"/>
        </w:rPr>
        <w:t>市场情况</w:t>
      </w:r>
      <w:r>
        <w:rPr>
          <w:rFonts w:hint="eastAsia"/>
          <w:sz w:val="28"/>
          <w:szCs w:val="28"/>
        </w:rPr>
        <w:t>，</w:t>
      </w:r>
      <w:r>
        <w:rPr>
          <w:rFonts w:hint="eastAsia" w:ascii="仿宋_GB2312" w:hAnsi="宋体" w:eastAsia="仿宋_GB2312"/>
          <w:sz w:val="28"/>
          <w:szCs w:val="28"/>
        </w:rPr>
        <w:t>在现有国家、行业标准相关</w:t>
      </w:r>
      <w:r>
        <w:rPr>
          <w:rFonts w:hint="eastAsia" w:ascii="仿宋_GB2312" w:hAnsi="宋体" w:eastAsia="仿宋_GB2312"/>
          <w:sz w:val="28"/>
          <w:szCs w:val="28"/>
          <w:lang w:eastAsia="zh-CN"/>
        </w:rPr>
        <w:t>广西林下中药材种植</w:t>
      </w:r>
      <w:r>
        <w:rPr>
          <w:rFonts w:hint="eastAsia" w:ascii="仿宋_GB2312" w:hAnsi="宋体" w:eastAsia="仿宋_GB2312"/>
          <w:sz w:val="28"/>
          <w:szCs w:val="28"/>
        </w:rPr>
        <w:t>技术要求的基础上，结合</w:t>
      </w:r>
      <w:r>
        <w:rPr>
          <w:rFonts w:hint="eastAsia" w:ascii="仿宋_GB2312" w:hAnsi="宋体" w:eastAsia="仿宋_GB2312"/>
          <w:sz w:val="28"/>
          <w:szCs w:val="28"/>
          <w:lang w:eastAsia="zh-CN"/>
        </w:rPr>
        <w:t>林下中药材种植</w:t>
      </w:r>
      <w:r>
        <w:rPr>
          <w:rFonts w:hint="eastAsia" w:ascii="仿宋_GB2312" w:hAnsi="宋体" w:eastAsia="仿宋_GB2312"/>
          <w:sz w:val="28"/>
          <w:szCs w:val="28"/>
        </w:rPr>
        <w:t>企业</w:t>
      </w:r>
      <w:r>
        <w:rPr>
          <w:rFonts w:hint="eastAsia" w:ascii="仿宋_GB2312" w:hAnsi="宋体" w:eastAsia="仿宋_GB2312"/>
          <w:sz w:val="28"/>
          <w:szCs w:val="28"/>
          <w:lang w:eastAsia="zh-CN"/>
        </w:rPr>
        <w:t>、科研单位等</w:t>
      </w:r>
      <w:r>
        <w:rPr>
          <w:rFonts w:hint="eastAsia" w:ascii="仿宋_GB2312" w:hAnsi="宋体" w:eastAsia="仿宋_GB2312"/>
          <w:sz w:val="28"/>
          <w:szCs w:val="28"/>
        </w:rPr>
        <w:t>多年的</w:t>
      </w:r>
      <w:r>
        <w:rPr>
          <w:rFonts w:hint="eastAsia" w:ascii="仿宋_GB2312" w:hAnsi="宋体" w:eastAsia="仿宋_GB2312"/>
          <w:sz w:val="28"/>
          <w:szCs w:val="28"/>
          <w:lang w:eastAsia="zh-CN"/>
        </w:rPr>
        <w:t>广西林下中药材</w:t>
      </w:r>
      <w:r>
        <w:rPr>
          <w:rFonts w:hint="eastAsia" w:ascii="仿宋_GB2312" w:hAnsi="宋体" w:eastAsia="仿宋_GB2312"/>
          <w:sz w:val="28"/>
          <w:szCs w:val="28"/>
        </w:rPr>
        <w:t>生产</w:t>
      </w:r>
      <w:r>
        <w:rPr>
          <w:rFonts w:hint="eastAsia" w:ascii="仿宋_GB2312" w:hAnsi="宋体" w:eastAsia="仿宋_GB2312"/>
          <w:sz w:val="28"/>
          <w:szCs w:val="28"/>
          <w:lang w:eastAsia="zh-CN"/>
        </w:rPr>
        <w:t>栽培</w:t>
      </w:r>
      <w:r>
        <w:rPr>
          <w:rFonts w:hint="eastAsia" w:ascii="仿宋_GB2312" w:hAnsi="宋体" w:eastAsia="仿宋_GB2312"/>
          <w:sz w:val="28"/>
          <w:szCs w:val="28"/>
        </w:rPr>
        <w:t>经验、试验而总结起草的，符合当前</w:t>
      </w:r>
      <w:r>
        <w:rPr>
          <w:rFonts w:hint="eastAsia" w:ascii="仿宋_GB2312" w:hAnsi="宋体" w:eastAsia="仿宋_GB2312"/>
          <w:sz w:val="28"/>
          <w:szCs w:val="28"/>
          <w:lang w:eastAsia="zh-CN"/>
        </w:rPr>
        <w:t>林下中药材种植</w:t>
      </w:r>
      <w:r>
        <w:rPr>
          <w:rFonts w:hint="eastAsia" w:ascii="仿宋_GB2312" w:hAnsi="宋体" w:eastAsia="仿宋_GB2312"/>
          <w:sz w:val="28"/>
          <w:szCs w:val="28"/>
        </w:rPr>
        <w:t>技术发展的方向与市场需求，有利于行业的长远发展，有利于提高</w:t>
      </w:r>
      <w:r>
        <w:rPr>
          <w:rFonts w:hint="eastAsia" w:ascii="仿宋_GB2312" w:hAnsi="宋体" w:eastAsia="仿宋_GB2312"/>
          <w:sz w:val="28"/>
          <w:szCs w:val="28"/>
          <w:lang w:eastAsia="zh-CN"/>
        </w:rPr>
        <w:t>广西林下中药材</w:t>
      </w:r>
      <w:r>
        <w:rPr>
          <w:rFonts w:hint="eastAsia" w:ascii="仿宋_GB2312" w:hAnsi="宋体" w:eastAsia="仿宋_GB2312"/>
          <w:sz w:val="28"/>
          <w:szCs w:val="28"/>
        </w:rPr>
        <w:t>质量和商品经济价值，提高农民经济效益，对推动我区</w:t>
      </w:r>
      <w:r>
        <w:rPr>
          <w:rFonts w:hint="eastAsia" w:ascii="仿宋_GB2312" w:hAnsi="宋体" w:eastAsia="仿宋_GB2312"/>
          <w:sz w:val="28"/>
          <w:szCs w:val="28"/>
          <w:lang w:eastAsia="zh-CN"/>
        </w:rPr>
        <w:t>广西林下中药材</w:t>
      </w:r>
      <w:r>
        <w:rPr>
          <w:rFonts w:hint="eastAsia" w:ascii="仿宋_GB2312" w:hAnsi="宋体" w:eastAsia="仿宋_GB2312"/>
          <w:sz w:val="28"/>
          <w:szCs w:val="28"/>
        </w:rPr>
        <w:t>产业健康发展，</w:t>
      </w:r>
      <w:r>
        <w:rPr>
          <w:rFonts w:hint="eastAsia" w:ascii="仿宋_GB2312" w:hAnsi="宋体" w:eastAsia="仿宋_GB2312"/>
          <w:sz w:val="28"/>
          <w:szCs w:val="28"/>
          <w:lang w:eastAsia="zh-CN"/>
        </w:rPr>
        <w:t>助力乡村振兴</w:t>
      </w:r>
      <w:r>
        <w:rPr>
          <w:rFonts w:hint="eastAsia" w:ascii="仿宋_GB2312" w:hAnsi="宋体" w:eastAsia="仿宋_GB2312"/>
          <w:sz w:val="28"/>
          <w:szCs w:val="28"/>
        </w:rPr>
        <w:t>，具有较强的实用性</w:t>
      </w:r>
      <w:r>
        <w:rPr>
          <w:rFonts w:hint="eastAsia" w:ascii="仿宋_GB2312" w:hAnsi="宋体" w:eastAsia="仿宋_GB2312"/>
          <w:sz w:val="28"/>
          <w:szCs w:val="28"/>
          <w:lang w:eastAsia="zh-CN"/>
        </w:rPr>
        <w:t>、先进性</w:t>
      </w:r>
      <w:r>
        <w:rPr>
          <w:rFonts w:hint="eastAsia" w:ascii="仿宋_GB2312" w:hAnsi="宋体" w:eastAsia="仿宋_GB2312"/>
          <w:sz w:val="28"/>
          <w:szCs w:val="28"/>
        </w:rPr>
        <w:t>和可操作性。</w:t>
      </w:r>
    </w:p>
    <w:p>
      <w:pPr>
        <w:ind w:firstLine="560" w:firstLineChars="200"/>
        <w:rPr>
          <w:rFonts w:ascii="仿宋_GB2312" w:hAnsi="宋体" w:eastAsia="仿宋_GB2312"/>
          <w:sz w:val="28"/>
          <w:szCs w:val="28"/>
        </w:rPr>
      </w:pPr>
      <w:r>
        <w:rPr>
          <w:rFonts w:hint="eastAsia" w:ascii="仿宋_GB2312" w:hAnsi="宋体" w:eastAsia="仿宋_GB2312"/>
          <w:sz w:val="28"/>
          <w:szCs w:val="28"/>
        </w:rPr>
        <w:t>2、协调性原则</w:t>
      </w:r>
    </w:p>
    <w:p>
      <w:pPr>
        <w:ind w:firstLine="560" w:firstLineChars="200"/>
        <w:rPr>
          <w:rFonts w:hint="eastAsia" w:ascii="仿宋_GB2312" w:hAnsi="宋体" w:eastAsia="仿宋_GB2312"/>
          <w:sz w:val="28"/>
          <w:szCs w:val="28"/>
        </w:rPr>
      </w:pPr>
      <w:r>
        <w:rPr>
          <w:rFonts w:hint="eastAsia" w:ascii="仿宋_GB2312" w:hAnsi="宋体" w:eastAsia="仿宋_GB2312"/>
          <w:sz w:val="28"/>
          <w:szCs w:val="28"/>
        </w:rPr>
        <w:t>本文件编写过程中注意了与</w:t>
      </w:r>
      <w:r>
        <w:rPr>
          <w:rFonts w:hint="eastAsia" w:ascii="仿宋_GB2312" w:hAnsi="宋体" w:eastAsia="仿宋_GB2312"/>
          <w:sz w:val="28"/>
          <w:szCs w:val="28"/>
          <w:lang w:eastAsia="zh-CN"/>
        </w:rPr>
        <w:t>林下中药材种植</w:t>
      </w:r>
      <w:r>
        <w:rPr>
          <w:rFonts w:hint="eastAsia" w:ascii="仿宋_GB2312" w:hAnsi="宋体" w:eastAsia="仿宋_GB2312"/>
          <w:sz w:val="28"/>
          <w:szCs w:val="28"/>
        </w:rPr>
        <w:t>技术相关法律法规的协调问题，在内容上与现行法律法规、标准协调一致。</w:t>
      </w:r>
    </w:p>
    <w:p>
      <w:pPr>
        <w:ind w:firstLine="560" w:firstLineChars="200"/>
        <w:rPr>
          <w:rFonts w:hint="eastAsia" w:ascii="仿宋_GB2312" w:hAnsi="宋体" w:eastAsia="仿宋_GB2312"/>
          <w:sz w:val="28"/>
          <w:szCs w:val="28"/>
        </w:rPr>
      </w:pPr>
    </w:p>
    <w:p>
      <w:pPr>
        <w:ind w:firstLine="560" w:firstLineChars="200"/>
        <w:rPr>
          <w:rFonts w:ascii="仿宋_GB2312" w:hAnsi="宋体" w:eastAsia="仿宋_GB2312"/>
          <w:sz w:val="28"/>
          <w:szCs w:val="28"/>
        </w:rPr>
      </w:pPr>
      <w:r>
        <w:rPr>
          <w:rFonts w:hint="eastAsia" w:ascii="仿宋_GB2312" w:hAnsi="宋体" w:eastAsia="仿宋_GB2312"/>
          <w:sz w:val="28"/>
          <w:szCs w:val="28"/>
        </w:rPr>
        <w:t>3、规范性原则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本文件严格按照GB/T 1.1—2020《标准化工作导则  第1部分：标准化文件的结构和起草规则》编写本标准的内容，保证标准的编写质量。</w:t>
      </w:r>
    </w:p>
    <w:p>
      <w:pPr>
        <w:ind w:firstLine="560" w:firstLineChars="200"/>
        <w:rPr>
          <w:rFonts w:ascii="仿宋_GB2312" w:hAnsi="宋体" w:eastAsia="仿宋_GB2312"/>
          <w:sz w:val="28"/>
          <w:szCs w:val="28"/>
        </w:rPr>
      </w:pPr>
      <w:r>
        <w:rPr>
          <w:rFonts w:hint="eastAsia" w:ascii="仿宋_GB2312" w:hAnsi="宋体" w:eastAsia="仿宋_GB2312"/>
          <w:sz w:val="28"/>
          <w:szCs w:val="28"/>
        </w:rPr>
        <w:t>4、前瞻性原则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本文件在兼顾当前区内</w:t>
      </w:r>
      <w:r>
        <w:rPr>
          <w:rFonts w:hint="eastAsia" w:ascii="仿宋_GB2312" w:hAnsi="宋体" w:eastAsia="仿宋_GB2312"/>
          <w:sz w:val="28"/>
          <w:szCs w:val="28"/>
          <w:lang w:eastAsia="zh-CN"/>
        </w:rPr>
        <w:t>广西林下中药材</w:t>
      </w:r>
      <w:r>
        <w:rPr>
          <w:rFonts w:hint="eastAsia" w:ascii="仿宋_GB2312" w:hAnsi="宋体" w:eastAsia="仿宋_GB2312"/>
          <w:sz w:val="28"/>
          <w:szCs w:val="28"/>
        </w:rPr>
        <w:t>市场</w:t>
      </w:r>
      <w:r>
        <w:rPr>
          <w:rFonts w:hint="eastAsia" w:ascii="仿宋_GB2312" w:hAnsi="宋体" w:eastAsia="仿宋_GB2312"/>
          <w:sz w:val="28"/>
          <w:szCs w:val="28"/>
          <w:lang w:eastAsia="zh-CN"/>
        </w:rPr>
        <w:t>栽培</w:t>
      </w:r>
      <w:r>
        <w:rPr>
          <w:rFonts w:hint="eastAsia" w:ascii="仿宋_GB2312" w:hAnsi="宋体" w:eastAsia="仿宋_GB2312"/>
          <w:sz w:val="28"/>
          <w:szCs w:val="28"/>
        </w:rPr>
        <w:t>技术现实情况的同时，还考虑到了</w:t>
      </w:r>
      <w:r>
        <w:rPr>
          <w:rFonts w:hint="eastAsia" w:ascii="仿宋_GB2312" w:hAnsi="宋体" w:eastAsia="仿宋_GB2312"/>
          <w:sz w:val="28"/>
          <w:szCs w:val="28"/>
          <w:lang w:eastAsia="zh-CN"/>
        </w:rPr>
        <w:t>中药材产业</w:t>
      </w:r>
      <w:r>
        <w:rPr>
          <w:rFonts w:hint="eastAsia" w:ascii="仿宋_GB2312" w:hAnsi="宋体" w:eastAsia="仿宋_GB2312"/>
          <w:sz w:val="28"/>
          <w:szCs w:val="28"/>
        </w:rPr>
        <w:t>快速发展的趋势和需要，在标准中体现了个别特色性、前瞻性和先进性条款，作为对</w:t>
      </w:r>
      <w:r>
        <w:rPr>
          <w:rFonts w:hint="eastAsia" w:ascii="仿宋_GB2312" w:hAnsi="宋体" w:eastAsia="仿宋_GB2312"/>
          <w:sz w:val="28"/>
          <w:szCs w:val="28"/>
          <w:lang w:eastAsia="zh-CN"/>
        </w:rPr>
        <w:t>林下中药材种植</w:t>
      </w:r>
      <w:r>
        <w:rPr>
          <w:rFonts w:hint="eastAsia" w:ascii="仿宋_GB2312" w:hAnsi="宋体" w:eastAsia="仿宋_GB2312"/>
          <w:sz w:val="28"/>
          <w:szCs w:val="28"/>
        </w:rPr>
        <w:t>技术发展的指导。</w:t>
      </w:r>
    </w:p>
    <w:p>
      <w:pPr>
        <w:numPr>
          <w:ilvl w:val="0"/>
          <w:numId w:val="9"/>
        </w:numPr>
        <w:autoSpaceDE w:val="0"/>
        <w:autoSpaceDN w:val="0"/>
        <w:adjustRightInd w:val="0"/>
        <w:ind w:firstLine="640" w:firstLineChars="200"/>
        <w:jc w:val="left"/>
        <w:rPr>
          <w:rFonts w:ascii="黑体" w:hAnsi="黑体" w:eastAsia="黑体" w:cs="仿宋_GB2312"/>
          <w:sz w:val="32"/>
          <w:szCs w:val="32"/>
        </w:rPr>
      </w:pPr>
      <w:bookmarkStart w:id="1" w:name="_Toc526940084"/>
      <w:r>
        <w:rPr>
          <w:rFonts w:hint="eastAsia" w:ascii="黑体" w:hAnsi="黑体" w:eastAsia="黑体" w:cs="仿宋_GB2312"/>
          <w:sz w:val="32"/>
          <w:szCs w:val="32"/>
        </w:rPr>
        <w:t>标准主要内容及依据来源</w:t>
      </w:r>
      <w:bookmarkEnd w:id="1"/>
    </w:p>
    <w:p>
      <w:pPr>
        <w:spacing w:line="560" w:lineRule="exact"/>
        <w:ind w:firstLine="560" w:firstLineChars="200"/>
        <w:rPr>
          <w:rFonts w:hint="eastAsia" w:ascii="仿宋_GB2312" w:eastAsia="仿宋_GB2312"/>
          <w:b w:val="0"/>
          <w:bCs w:val="0"/>
          <w:sz w:val="28"/>
          <w:szCs w:val="28"/>
        </w:rPr>
      </w:pPr>
      <w:r>
        <w:rPr>
          <w:rFonts w:hint="eastAsia" w:ascii="仿宋_GB2312" w:eastAsia="仿宋_GB2312"/>
          <w:b w:val="0"/>
          <w:bCs w:val="0"/>
          <w:sz w:val="28"/>
          <w:szCs w:val="28"/>
        </w:rPr>
        <w:t>本文件界定了林下中药材种植的术语和定义，规定了基本原则、种植原则、采收与加工、包装、贮藏与运输、质量要求、档案管理的要求。</w:t>
      </w:r>
    </w:p>
    <w:p>
      <w:pPr>
        <w:spacing w:line="560" w:lineRule="exact"/>
        <w:ind w:firstLine="560" w:firstLineChars="200"/>
        <w:rPr>
          <w:rFonts w:hint="eastAsia" w:ascii="仿宋_GB2312" w:eastAsia="仿宋_GB2312"/>
          <w:sz w:val="28"/>
          <w:szCs w:val="28"/>
          <w:lang w:val="en-US" w:eastAsia="zh-CN"/>
        </w:rPr>
      </w:pPr>
      <w:r>
        <w:rPr>
          <w:rFonts w:hint="eastAsia" w:ascii="仿宋_GB2312" w:eastAsia="仿宋_GB2312"/>
          <w:sz w:val="28"/>
          <w:szCs w:val="28"/>
        </w:rPr>
        <w:t>其中</w:t>
      </w:r>
      <w:r>
        <w:rPr>
          <w:rFonts w:hint="eastAsia" w:ascii="仿宋_GB2312" w:eastAsia="仿宋_GB2312"/>
          <w:b/>
          <w:bCs/>
          <w:sz w:val="28"/>
          <w:szCs w:val="28"/>
        </w:rPr>
        <w:t>术语和定义</w:t>
      </w:r>
      <w:r>
        <w:rPr>
          <w:rFonts w:hint="eastAsia" w:ascii="仿宋_GB2312" w:eastAsia="仿宋_GB2312"/>
          <w:sz w:val="28"/>
          <w:szCs w:val="28"/>
        </w:rPr>
        <w:t>主要是界定了</w:t>
      </w:r>
      <w:r>
        <w:rPr>
          <w:rFonts w:hint="eastAsia" w:ascii="仿宋_GB2312" w:eastAsia="仿宋_GB2312"/>
          <w:sz w:val="28"/>
          <w:szCs w:val="28"/>
          <w:lang w:eastAsia="zh-CN"/>
        </w:rPr>
        <w:t>林下中药材种植</w:t>
      </w:r>
      <w:r>
        <w:rPr>
          <w:rFonts w:hint="eastAsia" w:ascii="仿宋_GB2312" w:eastAsia="仿宋_GB2312"/>
          <w:sz w:val="28"/>
          <w:szCs w:val="28"/>
        </w:rPr>
        <w:t>的定义，</w:t>
      </w:r>
      <w:r>
        <w:rPr>
          <w:rFonts w:hint="eastAsia" w:ascii="仿宋_GB2312" w:eastAsia="仿宋_GB2312"/>
          <w:sz w:val="28"/>
          <w:szCs w:val="28"/>
          <w:lang w:eastAsia="zh-CN"/>
        </w:rPr>
        <w:t>明确为依托森林、林地及其生态环境，遵循可持续经营原则，因地制宜，采用仿野生种植、间套作、轮作等生态种植措施生产中药材，保证药材的质量和安全，实现生态经济良性循环的中药材生态种植模式，是林下经济的一种模式</w:t>
      </w:r>
      <w:r>
        <w:rPr>
          <w:rFonts w:hint="eastAsia" w:ascii="仿宋_GB2312" w:eastAsia="仿宋_GB2312"/>
          <w:sz w:val="28"/>
          <w:szCs w:val="28"/>
        </w:rPr>
        <w:t>。</w:t>
      </w:r>
      <w:r>
        <w:rPr>
          <w:rFonts w:hint="eastAsia" w:ascii="仿宋_GB2312" w:eastAsia="仿宋_GB2312"/>
          <w:sz w:val="28"/>
          <w:szCs w:val="28"/>
          <w:lang w:eastAsia="zh-CN"/>
        </w:rPr>
        <w:t>主要是考虑到很多中</w:t>
      </w:r>
      <w:r>
        <w:rPr>
          <w:rFonts w:hint="eastAsia" w:ascii="仿宋_GB2312" w:eastAsia="仿宋_GB2312"/>
          <w:color w:val="auto"/>
          <w:sz w:val="28"/>
          <w:szCs w:val="28"/>
          <w:lang w:eastAsia="zh-CN"/>
        </w:rPr>
        <w:t>药材</w:t>
      </w:r>
      <w:r>
        <w:rPr>
          <w:rFonts w:hint="eastAsia" w:ascii="仿宋_GB2312" w:eastAsia="仿宋_GB2312"/>
          <w:color w:val="auto"/>
          <w:sz w:val="28"/>
          <w:szCs w:val="28"/>
          <w:lang w:val="en-US" w:eastAsia="zh-CN"/>
        </w:rPr>
        <w:t>在中医药行业中有重要影响，是关系国民医疗、健康的战略资源。千百年来很多</w:t>
      </w:r>
      <w:r>
        <w:rPr>
          <w:rFonts w:hint="eastAsia" w:ascii="仿宋_GB2312" w:eastAsia="仿宋_GB2312"/>
          <w:color w:val="auto"/>
          <w:sz w:val="28"/>
          <w:szCs w:val="28"/>
          <w:lang w:eastAsia="zh-CN"/>
        </w:rPr>
        <w:t>中药材</w:t>
      </w:r>
      <w:r>
        <w:rPr>
          <w:rFonts w:hint="eastAsia" w:ascii="仿宋_GB2312" w:eastAsia="仿宋_GB2312"/>
          <w:color w:val="auto"/>
          <w:sz w:val="28"/>
          <w:szCs w:val="28"/>
          <w:lang w:val="en-US" w:eastAsia="zh-CN"/>
        </w:rPr>
        <w:t>采挖于深山老林，药效高药力足，佑护了中医药的健康发展。然而，随着</w:t>
      </w:r>
      <w:r>
        <w:rPr>
          <w:rFonts w:hint="eastAsia" w:ascii="仿宋_GB2312" w:eastAsia="仿宋_GB2312"/>
          <w:color w:val="auto"/>
          <w:sz w:val="28"/>
          <w:szCs w:val="28"/>
          <w:lang w:eastAsia="zh-CN"/>
        </w:rPr>
        <w:t>中药材</w:t>
      </w:r>
      <w:r>
        <w:rPr>
          <w:rFonts w:hint="eastAsia" w:ascii="仿宋_GB2312" w:eastAsia="仿宋_GB2312"/>
          <w:color w:val="auto"/>
          <w:sz w:val="28"/>
          <w:szCs w:val="28"/>
          <w:lang w:val="en-US" w:eastAsia="zh-CN"/>
        </w:rPr>
        <w:t>需求暴涨，野生药材被挖空殆尽，不得不人工栽培。当前，人工栽培主要套用农田大水大肥的种植模式，由于环境不适、病虫危害严重、连作障碍等原因造成的种植障碍问题非常突出，导致</w:t>
      </w:r>
      <w:r>
        <w:rPr>
          <w:rFonts w:hint="eastAsia" w:ascii="仿宋_GB2312" w:eastAsia="仿宋_GB2312"/>
          <w:color w:val="auto"/>
          <w:sz w:val="28"/>
          <w:szCs w:val="28"/>
          <w:lang w:eastAsia="zh-CN"/>
        </w:rPr>
        <w:t>中药材</w:t>
      </w:r>
      <w:r>
        <w:rPr>
          <w:rFonts w:hint="eastAsia" w:ascii="仿宋_GB2312" w:eastAsia="仿宋_GB2312"/>
          <w:color w:val="auto"/>
          <w:sz w:val="28"/>
          <w:szCs w:val="28"/>
          <w:lang w:val="en-US" w:eastAsia="zh-CN"/>
        </w:rPr>
        <w:t>药效和品质下降。本标准规定的林下</w:t>
      </w:r>
      <w:r>
        <w:rPr>
          <w:rFonts w:hint="eastAsia" w:ascii="仿宋_GB2312" w:eastAsia="仿宋_GB2312"/>
          <w:color w:val="auto"/>
          <w:sz w:val="28"/>
          <w:szCs w:val="28"/>
          <w:lang w:eastAsia="zh-CN"/>
        </w:rPr>
        <w:t>中药材</w:t>
      </w:r>
      <w:r>
        <w:rPr>
          <w:rFonts w:hint="eastAsia" w:ascii="仿宋_GB2312" w:eastAsia="仿宋_GB2312"/>
          <w:color w:val="auto"/>
          <w:sz w:val="28"/>
          <w:szCs w:val="28"/>
          <w:lang w:val="en-US" w:eastAsia="zh-CN"/>
        </w:rPr>
        <w:t>种植技术规程是遵循药效第一的原则，利用林下生物间“相生相克”和林下生态环境与</w:t>
      </w:r>
      <w:r>
        <w:rPr>
          <w:rFonts w:hint="eastAsia" w:ascii="仿宋_GB2312" w:eastAsia="仿宋_GB2312"/>
          <w:color w:val="auto"/>
          <w:sz w:val="28"/>
          <w:szCs w:val="28"/>
          <w:lang w:eastAsia="zh-CN"/>
        </w:rPr>
        <w:t>中药材</w:t>
      </w:r>
      <w:r>
        <w:rPr>
          <w:rFonts w:hint="eastAsia" w:ascii="仿宋_GB2312" w:eastAsia="仿宋_GB2312"/>
          <w:color w:val="auto"/>
          <w:sz w:val="28"/>
          <w:szCs w:val="28"/>
          <w:lang w:val="en-US" w:eastAsia="zh-CN"/>
        </w:rPr>
        <w:t>对生长环境的需求相耦合的原理，让</w:t>
      </w:r>
      <w:r>
        <w:rPr>
          <w:rFonts w:hint="eastAsia" w:ascii="仿宋_GB2312" w:eastAsia="仿宋_GB2312"/>
          <w:color w:val="auto"/>
          <w:sz w:val="28"/>
          <w:szCs w:val="28"/>
          <w:lang w:eastAsia="zh-CN"/>
        </w:rPr>
        <w:t>中药材</w:t>
      </w:r>
      <w:r>
        <w:rPr>
          <w:rFonts w:hint="eastAsia" w:ascii="仿宋_GB2312" w:eastAsia="仿宋_GB2312"/>
          <w:color w:val="auto"/>
          <w:sz w:val="28"/>
          <w:szCs w:val="28"/>
          <w:lang w:val="en-US" w:eastAsia="zh-CN"/>
        </w:rPr>
        <w:t>回归山野林下，实现</w:t>
      </w:r>
      <w:r>
        <w:rPr>
          <w:rFonts w:hint="eastAsia" w:ascii="仿宋_GB2312" w:eastAsia="仿宋_GB2312"/>
          <w:color w:val="auto"/>
          <w:sz w:val="28"/>
          <w:szCs w:val="28"/>
          <w:lang w:eastAsia="zh-CN"/>
        </w:rPr>
        <w:t>中药材</w:t>
      </w:r>
      <w:r>
        <w:rPr>
          <w:rFonts w:hint="eastAsia" w:ascii="仿宋_GB2312" w:eastAsia="仿宋_GB2312"/>
          <w:color w:val="auto"/>
          <w:sz w:val="28"/>
          <w:szCs w:val="28"/>
          <w:lang w:val="en-US" w:eastAsia="zh-CN"/>
        </w:rPr>
        <w:t>在林下标准化、规范化和规模化的生产，建立药效第一的药材种植模式。同时也结合了生产实际</w:t>
      </w:r>
      <w:r>
        <w:rPr>
          <w:rFonts w:hint="eastAsia" w:ascii="仿宋_GB2312" w:eastAsia="仿宋_GB2312"/>
          <w:sz w:val="28"/>
          <w:szCs w:val="28"/>
          <w:lang w:val="en-US" w:eastAsia="zh-CN"/>
        </w:rPr>
        <w:t>以及考虑了《中华人民共和国森林法》有关内容要求确定。</w:t>
      </w:r>
    </w:p>
    <w:p>
      <w:pPr>
        <w:spacing w:line="560" w:lineRule="exact"/>
        <w:ind w:firstLine="562" w:firstLineChars="200"/>
        <w:rPr>
          <w:rFonts w:hint="eastAsia" w:ascii="仿宋_GB2312" w:eastAsia="仿宋_GB2312"/>
          <w:sz w:val="28"/>
          <w:szCs w:val="28"/>
          <w:lang w:val="en-US" w:eastAsia="zh-CN"/>
        </w:rPr>
      </w:pPr>
      <w:r>
        <w:rPr>
          <w:rFonts w:hint="default" w:ascii="仿宋_GB2312" w:eastAsia="仿宋_GB2312"/>
          <w:b/>
          <w:bCs/>
          <w:sz w:val="28"/>
          <w:szCs w:val="28"/>
          <w:lang w:val="en-US" w:eastAsia="zh-CN"/>
        </w:rPr>
        <w:t>基本原则</w:t>
      </w:r>
      <w:r>
        <w:rPr>
          <w:rFonts w:hint="eastAsia" w:ascii="仿宋_GB2312" w:eastAsia="仿宋_GB2312"/>
          <w:sz w:val="28"/>
          <w:szCs w:val="28"/>
          <w:lang w:val="en-US" w:eastAsia="zh-CN"/>
        </w:rPr>
        <w:t xml:space="preserve">主要是考虑到广西林下中药材主要利用山区退耕还林的森林资源，不占用农田，不与粮食水果蔬菜争地；生产过程中不推荐施用化学肥料和化学农药，确保中药材的品质和安全性；林下种植省去了设施大棚和农药化肥的投入，生产成本大大降低。因此，林下中药材生态好、效益好、品质优，适宜在山区推广，将山区的“青山”变为群众致富的“金山”。 </w:t>
      </w:r>
    </w:p>
    <w:p>
      <w:pPr>
        <w:spacing w:line="560" w:lineRule="exact"/>
        <w:ind w:firstLine="562" w:firstLineChars="200"/>
        <w:rPr>
          <w:rFonts w:hint="eastAsia" w:ascii="仿宋_GB2312" w:eastAsia="仿宋_GB2312"/>
          <w:sz w:val="28"/>
          <w:szCs w:val="28"/>
          <w:lang w:val="en-US" w:eastAsia="zh-CN"/>
        </w:rPr>
      </w:pPr>
      <w:r>
        <w:rPr>
          <w:rFonts w:hint="default" w:ascii="仿宋_GB2312" w:eastAsia="仿宋_GB2312"/>
          <w:b/>
          <w:bCs/>
          <w:sz w:val="28"/>
          <w:szCs w:val="28"/>
          <w:lang w:val="en-US" w:eastAsia="zh-CN"/>
        </w:rPr>
        <w:t>种植原则</w:t>
      </w:r>
      <w:r>
        <w:rPr>
          <w:rFonts w:hint="eastAsia" w:ascii="仿宋_GB2312" w:eastAsia="仿宋_GB2312"/>
          <w:sz w:val="28"/>
          <w:szCs w:val="28"/>
          <w:lang w:val="en-US" w:eastAsia="zh-CN"/>
        </w:rPr>
        <w:t>主要是考虑本标准通过指导中药材从林下种植的品种选择、产地环境、选地、整地、种植密度、水分管理、施肥管理、中耕除草、病虫害防治等全过程出发，助推林下中药材产业的健康发展。</w:t>
      </w:r>
    </w:p>
    <w:p>
      <w:pPr>
        <w:spacing w:line="560" w:lineRule="exact"/>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其中</w:t>
      </w:r>
      <w:r>
        <w:rPr>
          <w:rFonts w:hint="eastAsia" w:ascii="仿宋_GB2312" w:eastAsia="仿宋_GB2312"/>
          <w:b/>
          <w:bCs/>
          <w:sz w:val="28"/>
          <w:szCs w:val="28"/>
          <w:lang w:val="en-US" w:eastAsia="zh-CN"/>
        </w:rPr>
        <w:t>品种选择</w:t>
      </w:r>
      <w:r>
        <w:rPr>
          <w:rFonts w:hint="eastAsia" w:ascii="仿宋_GB2312" w:eastAsia="仿宋_GB2312"/>
          <w:sz w:val="28"/>
          <w:szCs w:val="28"/>
          <w:lang w:val="en-US" w:eastAsia="zh-CN"/>
        </w:rPr>
        <w:t>主要考虑：不同品种有不同的生长特性，选择品种是关乎后面种植是否成功的关键，优良品种有高产、优质或适应性强等特性，优先选择道地品种、原林下有野生分布以及种植试验成功的品种，是为了少走弯路，即可进行推广种植。</w:t>
      </w:r>
    </w:p>
    <w:p>
      <w:pPr>
        <w:spacing w:line="560" w:lineRule="exact"/>
        <w:ind w:firstLine="562" w:firstLineChars="200"/>
        <w:rPr>
          <w:rFonts w:hint="eastAsia" w:ascii="仿宋_GB2312" w:eastAsia="仿宋_GB2312"/>
          <w:sz w:val="28"/>
          <w:szCs w:val="28"/>
          <w:lang w:val="en-US" w:eastAsia="zh-CN"/>
        </w:rPr>
      </w:pPr>
      <w:r>
        <w:rPr>
          <w:rFonts w:hint="default" w:ascii="仿宋_GB2312" w:eastAsia="仿宋_GB2312"/>
          <w:b/>
          <w:bCs/>
          <w:sz w:val="28"/>
          <w:szCs w:val="28"/>
          <w:lang w:val="en-US" w:eastAsia="zh-CN"/>
        </w:rPr>
        <w:t>产地环境</w:t>
      </w:r>
      <w:r>
        <w:rPr>
          <w:rFonts w:hint="eastAsia" w:ascii="仿宋_GB2312" w:eastAsia="仿宋_GB2312"/>
          <w:sz w:val="28"/>
          <w:szCs w:val="28"/>
          <w:lang w:val="en-US" w:eastAsia="zh-CN"/>
        </w:rPr>
        <w:t>主要考虑：</w:t>
      </w:r>
      <w:r>
        <w:rPr>
          <w:rFonts w:hint="default" w:ascii="仿宋_GB2312" w:eastAsia="仿宋_GB2312"/>
          <w:sz w:val="28"/>
          <w:szCs w:val="28"/>
          <w:lang w:val="en-US" w:eastAsia="zh-CN"/>
        </w:rPr>
        <w:t>为了确保生产出合格的中药材，DB45/T 532已经对种植地的土壤、灌溉水等作了规定</w:t>
      </w:r>
      <w:r>
        <w:rPr>
          <w:rFonts w:hint="eastAsia" w:ascii="仿宋_GB2312" w:eastAsia="仿宋_GB2312"/>
          <w:sz w:val="28"/>
          <w:szCs w:val="28"/>
          <w:lang w:val="en-US" w:eastAsia="zh-CN"/>
        </w:rPr>
        <w:t>。</w:t>
      </w:r>
    </w:p>
    <w:p>
      <w:pPr>
        <w:spacing w:line="560" w:lineRule="exact"/>
        <w:ind w:firstLine="562" w:firstLineChars="200"/>
        <w:rPr>
          <w:rFonts w:hint="default" w:ascii="仿宋_GB2312" w:eastAsia="仿宋_GB2312"/>
          <w:sz w:val="28"/>
          <w:szCs w:val="28"/>
          <w:lang w:val="en-US" w:eastAsia="zh-CN"/>
        </w:rPr>
      </w:pPr>
      <w:r>
        <w:rPr>
          <w:rFonts w:hint="default" w:ascii="仿宋_GB2312" w:eastAsia="仿宋_GB2312"/>
          <w:b/>
          <w:bCs/>
          <w:sz w:val="28"/>
          <w:szCs w:val="28"/>
          <w:lang w:val="en-US" w:eastAsia="zh-CN"/>
        </w:rPr>
        <w:t>选地</w:t>
      </w:r>
      <w:r>
        <w:rPr>
          <w:rFonts w:hint="eastAsia" w:ascii="仿宋_GB2312" w:eastAsia="仿宋_GB2312"/>
          <w:b/>
          <w:bCs/>
          <w:sz w:val="28"/>
          <w:szCs w:val="28"/>
          <w:lang w:val="en-US" w:eastAsia="zh-CN"/>
        </w:rPr>
        <w:t>：</w:t>
      </w:r>
      <w:r>
        <w:rPr>
          <w:rFonts w:hint="default" w:ascii="仿宋_GB2312" w:eastAsia="仿宋_GB2312"/>
          <w:sz w:val="28"/>
          <w:szCs w:val="28"/>
          <w:lang w:val="en-US" w:eastAsia="zh-CN"/>
        </w:rPr>
        <w:t>林下的种植考虑到药材种植管理及采收的便利性，山高</w:t>
      </w:r>
      <w:r>
        <w:rPr>
          <w:rFonts w:hint="eastAsia" w:ascii="仿宋_GB2312" w:eastAsia="仿宋_GB2312"/>
          <w:sz w:val="28"/>
          <w:szCs w:val="28"/>
          <w:lang w:val="en-US" w:eastAsia="zh-CN"/>
        </w:rPr>
        <w:t>陡坡</w:t>
      </w:r>
      <w:r>
        <w:rPr>
          <w:rFonts w:hint="default" w:ascii="仿宋_GB2312" w:eastAsia="仿宋_GB2312"/>
          <w:sz w:val="28"/>
          <w:szCs w:val="28"/>
          <w:lang w:val="en-US" w:eastAsia="zh-CN"/>
        </w:rPr>
        <w:t>采收困难，管理及采收费用增加，成本高。根据中药材生长对光照的要求，可进行适当的间伐或疏枝。一方面是为了提高单位种植密度，另一方面是为了增加林间透光率，从而符合药材生长对光照的需求</w:t>
      </w:r>
      <w:r>
        <w:rPr>
          <w:rFonts w:hint="eastAsia" w:ascii="仿宋_GB2312" w:eastAsia="仿宋_GB2312"/>
          <w:sz w:val="28"/>
          <w:szCs w:val="28"/>
          <w:lang w:val="en-US" w:eastAsia="zh-CN"/>
        </w:rPr>
        <w:t>。</w:t>
      </w:r>
    </w:p>
    <w:p>
      <w:pPr>
        <w:spacing w:line="560" w:lineRule="exact"/>
        <w:ind w:firstLine="562" w:firstLineChars="200"/>
        <w:rPr>
          <w:rFonts w:hint="default" w:ascii="仿宋_GB2312" w:eastAsia="仿宋_GB2312"/>
          <w:sz w:val="28"/>
          <w:szCs w:val="28"/>
          <w:lang w:val="en-US" w:eastAsia="zh-CN"/>
        </w:rPr>
      </w:pPr>
      <w:r>
        <w:rPr>
          <w:rFonts w:hint="default" w:ascii="仿宋_GB2312" w:eastAsia="仿宋_GB2312"/>
          <w:b/>
          <w:bCs/>
          <w:sz w:val="28"/>
          <w:szCs w:val="28"/>
          <w:lang w:val="en-US" w:eastAsia="zh-CN"/>
        </w:rPr>
        <w:t>整地</w:t>
      </w:r>
      <w:r>
        <w:rPr>
          <w:rFonts w:hint="eastAsia" w:ascii="仿宋_GB2312" w:eastAsia="仿宋_GB2312"/>
          <w:b/>
          <w:bCs/>
          <w:sz w:val="28"/>
          <w:szCs w:val="28"/>
          <w:lang w:val="en-US" w:eastAsia="zh-CN"/>
        </w:rPr>
        <w:t>主要</w:t>
      </w:r>
      <w:r>
        <w:rPr>
          <w:rFonts w:hint="default" w:ascii="仿宋_GB2312" w:eastAsia="仿宋_GB2312"/>
          <w:sz w:val="28"/>
          <w:szCs w:val="28"/>
          <w:lang w:val="en-US" w:eastAsia="zh-CN"/>
        </w:rPr>
        <w:t>考虑到不同林地的地形地貌都不一样，整地的深度和力度一不一样，如果过度的深挖或开垦会造成水土流失，破坏环境</w:t>
      </w:r>
      <w:r>
        <w:rPr>
          <w:rFonts w:hint="eastAsia" w:ascii="仿宋_GB2312" w:eastAsia="仿宋_GB2312"/>
          <w:sz w:val="28"/>
          <w:szCs w:val="28"/>
          <w:lang w:val="en-US" w:eastAsia="zh-CN"/>
        </w:rPr>
        <w:t>。</w:t>
      </w:r>
    </w:p>
    <w:p>
      <w:pPr>
        <w:spacing w:line="560" w:lineRule="exact"/>
        <w:ind w:firstLine="562" w:firstLineChars="200"/>
        <w:rPr>
          <w:rFonts w:hint="eastAsia" w:ascii="仿宋_GB2312" w:eastAsia="仿宋_GB2312"/>
          <w:sz w:val="28"/>
          <w:szCs w:val="28"/>
          <w:lang w:val="en-US" w:eastAsia="zh-CN"/>
        </w:rPr>
      </w:pPr>
      <w:r>
        <w:rPr>
          <w:rFonts w:hint="default" w:ascii="仿宋_GB2312" w:eastAsia="仿宋_GB2312"/>
          <w:b/>
          <w:bCs/>
          <w:sz w:val="28"/>
          <w:szCs w:val="28"/>
          <w:lang w:val="en-US" w:eastAsia="zh-CN"/>
        </w:rPr>
        <w:t>种植密度</w:t>
      </w:r>
      <w:r>
        <w:rPr>
          <w:rFonts w:hint="eastAsia" w:ascii="仿宋_GB2312" w:eastAsia="仿宋_GB2312"/>
          <w:b/>
          <w:bCs/>
          <w:sz w:val="28"/>
          <w:szCs w:val="28"/>
          <w:lang w:val="en-US" w:eastAsia="zh-CN"/>
        </w:rPr>
        <w:t>主要</w:t>
      </w:r>
      <w:r>
        <w:rPr>
          <w:rFonts w:hint="default" w:ascii="仿宋_GB2312" w:eastAsia="仿宋_GB2312"/>
          <w:sz w:val="28"/>
          <w:szCs w:val="28"/>
          <w:lang w:val="en-US" w:eastAsia="zh-CN"/>
        </w:rPr>
        <w:t>考虑不同的药材品种种植密度不一样，如草本的密度大，乔木或灌木密度小</w:t>
      </w:r>
      <w:r>
        <w:rPr>
          <w:rFonts w:hint="eastAsia" w:ascii="仿宋_GB2312" w:eastAsia="仿宋_GB2312"/>
          <w:sz w:val="28"/>
          <w:szCs w:val="28"/>
          <w:lang w:val="en-US" w:eastAsia="zh-CN"/>
        </w:rPr>
        <w:t>。</w:t>
      </w:r>
    </w:p>
    <w:p>
      <w:pPr>
        <w:spacing w:line="560" w:lineRule="exact"/>
        <w:ind w:firstLine="562" w:firstLineChars="200"/>
        <w:rPr>
          <w:rFonts w:hint="default" w:ascii="仿宋_GB2312" w:eastAsia="仿宋_GB2312"/>
          <w:sz w:val="28"/>
          <w:szCs w:val="28"/>
          <w:lang w:val="en-US" w:eastAsia="zh-CN"/>
        </w:rPr>
      </w:pPr>
      <w:r>
        <w:rPr>
          <w:rFonts w:hint="default" w:ascii="仿宋_GB2312" w:eastAsia="仿宋_GB2312"/>
          <w:b/>
          <w:bCs/>
          <w:sz w:val="28"/>
          <w:szCs w:val="28"/>
          <w:lang w:val="en-US" w:eastAsia="zh-CN"/>
        </w:rPr>
        <w:t>水分管理</w:t>
      </w:r>
      <w:r>
        <w:rPr>
          <w:rFonts w:hint="eastAsia" w:ascii="仿宋_GB2312" w:eastAsia="仿宋_GB2312"/>
          <w:sz w:val="28"/>
          <w:szCs w:val="28"/>
          <w:lang w:val="en-US" w:eastAsia="zh-CN"/>
        </w:rPr>
        <w:t>主要考虑：</w:t>
      </w:r>
      <w:r>
        <w:rPr>
          <w:rFonts w:hint="default" w:ascii="仿宋_GB2312" w:eastAsia="仿宋_GB2312"/>
          <w:sz w:val="28"/>
          <w:szCs w:val="28"/>
          <w:lang w:val="en-US" w:eastAsia="zh-CN"/>
        </w:rPr>
        <w:t>药材的定植或生长过程开花及结果等都是药材生长关键期，缺水或水分过多都会造成药材产量降低甚至是无收获）</w:t>
      </w:r>
    </w:p>
    <w:p>
      <w:pPr>
        <w:spacing w:line="560" w:lineRule="exact"/>
        <w:ind w:firstLine="562" w:firstLineChars="200"/>
        <w:rPr>
          <w:rFonts w:hint="eastAsia" w:ascii="仿宋_GB2312" w:eastAsia="仿宋_GB2312"/>
          <w:sz w:val="28"/>
          <w:szCs w:val="28"/>
          <w:lang w:val="en-US" w:eastAsia="zh-CN"/>
        </w:rPr>
      </w:pPr>
      <w:r>
        <w:rPr>
          <w:rFonts w:hint="default" w:ascii="仿宋_GB2312" w:eastAsia="仿宋_GB2312"/>
          <w:b/>
          <w:bCs/>
          <w:sz w:val="28"/>
          <w:szCs w:val="28"/>
          <w:lang w:val="en-US" w:eastAsia="zh-CN"/>
        </w:rPr>
        <w:t>施肥管理</w:t>
      </w:r>
      <w:r>
        <w:rPr>
          <w:rFonts w:hint="eastAsia" w:ascii="仿宋_GB2312" w:eastAsia="仿宋_GB2312"/>
          <w:sz w:val="28"/>
          <w:szCs w:val="28"/>
          <w:lang w:val="en-US" w:eastAsia="zh-CN"/>
        </w:rPr>
        <w:t>主要考虑：</w:t>
      </w:r>
      <w:r>
        <w:rPr>
          <w:rFonts w:hint="default" w:ascii="仿宋_GB2312" w:eastAsia="仿宋_GB2312"/>
          <w:sz w:val="28"/>
          <w:szCs w:val="28"/>
          <w:lang w:val="en-US" w:eastAsia="zh-CN"/>
        </w:rPr>
        <w:t>合理的施肥才能使药材获得高产，同时使用符合标准的肥料才能生产出合格的药材</w:t>
      </w:r>
      <w:r>
        <w:rPr>
          <w:rFonts w:hint="eastAsia" w:ascii="仿宋_GB2312" w:eastAsia="仿宋_GB2312"/>
          <w:sz w:val="28"/>
          <w:szCs w:val="28"/>
          <w:lang w:val="en-US" w:eastAsia="zh-CN"/>
        </w:rPr>
        <w:t>。</w:t>
      </w:r>
    </w:p>
    <w:p>
      <w:pPr>
        <w:spacing w:line="560" w:lineRule="exact"/>
        <w:ind w:firstLine="560" w:firstLineChars="200"/>
        <w:rPr>
          <w:rFonts w:hint="default" w:ascii="仿宋_GB2312" w:eastAsia="仿宋_GB2312"/>
          <w:sz w:val="28"/>
          <w:szCs w:val="28"/>
          <w:lang w:val="en-US" w:eastAsia="zh-CN"/>
        </w:rPr>
      </w:pPr>
      <w:r>
        <w:rPr>
          <w:rFonts w:hint="default" w:ascii="仿宋_GB2312" w:eastAsia="仿宋_GB2312"/>
          <w:sz w:val="28"/>
          <w:szCs w:val="28"/>
          <w:lang w:val="en-US" w:eastAsia="zh-CN"/>
        </w:rPr>
        <w:t>病虫害防治</w:t>
      </w:r>
      <w:r>
        <w:rPr>
          <w:rFonts w:hint="eastAsia" w:ascii="仿宋_GB2312" w:eastAsia="仿宋_GB2312"/>
          <w:sz w:val="28"/>
          <w:szCs w:val="28"/>
          <w:lang w:val="en-US" w:eastAsia="zh-CN"/>
        </w:rPr>
        <w:t>主要考虑：</w:t>
      </w:r>
      <w:r>
        <w:rPr>
          <w:rFonts w:hint="default" w:ascii="仿宋_GB2312" w:eastAsia="仿宋_GB2312"/>
          <w:sz w:val="28"/>
          <w:szCs w:val="28"/>
          <w:lang w:val="en-US" w:eastAsia="zh-CN"/>
        </w:rPr>
        <w:t>当药材种植面积较大时，往往会发生一些病虫害，为了生产出的药材更加优质，应当以预防为主，如需要使用农药进行防治，农药必须符合相关规定，才能生产出合格的药材，同时也不污染环境</w:t>
      </w:r>
      <w:r>
        <w:rPr>
          <w:rFonts w:hint="eastAsia" w:ascii="仿宋_GB2312" w:eastAsia="仿宋_GB2312"/>
          <w:sz w:val="28"/>
          <w:szCs w:val="28"/>
          <w:lang w:val="en-US" w:eastAsia="zh-CN"/>
        </w:rPr>
        <w:t>。</w:t>
      </w:r>
    </w:p>
    <w:p>
      <w:pPr>
        <w:spacing w:line="560" w:lineRule="exact"/>
        <w:ind w:firstLine="562" w:firstLineChars="200"/>
        <w:rPr>
          <w:rFonts w:hint="default" w:ascii="仿宋_GB2312" w:eastAsia="仿宋_GB2312"/>
          <w:sz w:val="28"/>
          <w:szCs w:val="28"/>
          <w:lang w:val="en-US" w:eastAsia="zh-CN"/>
        </w:rPr>
      </w:pPr>
      <w:r>
        <w:rPr>
          <w:rFonts w:hint="default" w:ascii="仿宋_GB2312" w:eastAsia="仿宋_GB2312"/>
          <w:b/>
          <w:bCs/>
          <w:sz w:val="28"/>
          <w:szCs w:val="28"/>
          <w:lang w:val="en-US" w:eastAsia="zh-CN"/>
        </w:rPr>
        <w:t>采收与加工</w:t>
      </w:r>
      <w:r>
        <w:rPr>
          <w:rFonts w:hint="eastAsia" w:ascii="仿宋_GB2312" w:eastAsia="仿宋_GB2312"/>
          <w:sz w:val="28"/>
          <w:szCs w:val="28"/>
          <w:lang w:val="en-US" w:eastAsia="zh-CN"/>
        </w:rPr>
        <w:t>主要是考虑根据中药材种类、生长特性和药用部位及药用成分等特点，制定采收和加工技术标准。</w:t>
      </w:r>
    </w:p>
    <w:p>
      <w:pPr>
        <w:spacing w:line="560" w:lineRule="exact"/>
        <w:ind w:firstLine="562" w:firstLineChars="200"/>
        <w:rPr>
          <w:rFonts w:hint="default" w:ascii="仿宋_GB2312" w:eastAsia="仿宋_GB2312"/>
          <w:sz w:val="28"/>
          <w:szCs w:val="28"/>
          <w:lang w:val="en-US" w:eastAsia="zh-CN"/>
        </w:rPr>
      </w:pPr>
      <w:r>
        <w:rPr>
          <w:rFonts w:hint="default" w:ascii="仿宋_GB2312" w:eastAsia="仿宋_GB2312"/>
          <w:b/>
          <w:bCs/>
          <w:sz w:val="28"/>
          <w:szCs w:val="28"/>
          <w:lang w:val="en-US" w:eastAsia="zh-CN"/>
        </w:rPr>
        <w:t>包装、贮藏与运输</w:t>
      </w:r>
      <w:r>
        <w:rPr>
          <w:rFonts w:hint="eastAsia" w:ascii="仿宋_GB2312" w:eastAsia="仿宋_GB2312"/>
          <w:sz w:val="28"/>
          <w:szCs w:val="28"/>
          <w:lang w:val="en-US" w:eastAsia="zh-CN"/>
        </w:rPr>
        <w:t>主要是考虑根据不同中药材对贮藏温度、湿度、光照、通风等环境条件要求，制定贮藏规范，注意防潮和防霉。采用符合环保的材料进行包装，包装应有明确的标识。运输过程注意防雨。</w:t>
      </w:r>
    </w:p>
    <w:p>
      <w:pPr>
        <w:spacing w:line="560" w:lineRule="exact"/>
        <w:ind w:firstLine="562" w:firstLineChars="200"/>
        <w:rPr>
          <w:rFonts w:hint="default" w:ascii="仿宋_GB2312" w:eastAsia="仿宋_GB2312"/>
          <w:sz w:val="28"/>
          <w:szCs w:val="28"/>
          <w:lang w:val="en-US" w:eastAsia="zh-CN"/>
        </w:rPr>
      </w:pPr>
      <w:r>
        <w:rPr>
          <w:rFonts w:hint="default" w:ascii="仿宋_GB2312" w:eastAsia="仿宋_GB2312"/>
          <w:b/>
          <w:bCs/>
          <w:sz w:val="28"/>
          <w:szCs w:val="28"/>
          <w:lang w:val="en-US" w:eastAsia="zh-CN"/>
        </w:rPr>
        <w:t>质量要求</w:t>
      </w:r>
      <w:r>
        <w:rPr>
          <w:rFonts w:hint="eastAsia" w:ascii="仿宋_GB2312" w:eastAsia="仿宋_GB2312"/>
          <w:sz w:val="28"/>
          <w:szCs w:val="28"/>
          <w:lang w:val="en-US" w:eastAsia="zh-CN"/>
        </w:rPr>
        <w:t>主要是考虑生产出的中药材质量应符合中华人民共和国药典  一部（2020年版）的要求。</w:t>
      </w:r>
    </w:p>
    <w:p>
      <w:pPr>
        <w:spacing w:line="560" w:lineRule="exact"/>
        <w:ind w:firstLine="562" w:firstLineChars="200"/>
        <w:rPr>
          <w:rFonts w:hint="default" w:ascii="仿宋_GB2312" w:eastAsia="仿宋_GB2312"/>
          <w:sz w:val="28"/>
          <w:szCs w:val="28"/>
          <w:lang w:val="en-US" w:eastAsia="zh-CN"/>
        </w:rPr>
      </w:pPr>
      <w:r>
        <w:rPr>
          <w:rFonts w:hint="default" w:ascii="仿宋_GB2312" w:eastAsia="仿宋_GB2312"/>
          <w:b/>
          <w:bCs/>
          <w:sz w:val="28"/>
          <w:szCs w:val="28"/>
          <w:lang w:val="en-US" w:eastAsia="zh-CN"/>
        </w:rPr>
        <w:t>档案管理</w:t>
      </w:r>
      <w:r>
        <w:rPr>
          <w:rFonts w:hint="default" w:ascii="仿宋_GB2312" w:eastAsia="仿宋_GB2312"/>
          <w:sz w:val="28"/>
          <w:szCs w:val="28"/>
          <w:lang w:val="en-US" w:eastAsia="zh-CN"/>
        </w:rPr>
        <w:t>主要是考虑对整个中药材林下种植的过程的材料应及时建档，档案的内容包括品种、来源、种植时间、使用肥料等台账的文件、图片及音像，档案管理人员要求有相关的专业知识，专人负责，长期保存</w:t>
      </w:r>
      <w:r>
        <w:rPr>
          <w:rFonts w:hint="eastAsia" w:ascii="仿宋_GB2312" w:eastAsia="仿宋_GB2312"/>
          <w:sz w:val="28"/>
          <w:szCs w:val="28"/>
          <w:lang w:val="en-US" w:eastAsia="zh-CN"/>
        </w:rPr>
        <w:t>。</w:t>
      </w:r>
    </w:p>
    <w:p>
      <w:pPr>
        <w:ind w:firstLine="640" w:firstLineChars="200"/>
        <w:rPr>
          <w:rFonts w:hAnsi="黑体" w:cs="仿宋_GB2312"/>
          <w:sz w:val="32"/>
          <w:szCs w:val="32"/>
        </w:rPr>
      </w:pPr>
      <w:r>
        <w:rPr>
          <w:rFonts w:hint="eastAsia" w:hAnsi="黑体" w:cs="仿宋_GB2312"/>
          <w:sz w:val="32"/>
          <w:szCs w:val="32"/>
        </w:rPr>
        <w:t>六、国内同类标准制修订情况及与法律法规、强制性标准关系</w:t>
      </w:r>
    </w:p>
    <w:p>
      <w:pPr>
        <w:ind w:firstLine="560" w:firstLineChars="200"/>
        <w:rPr>
          <w:rFonts w:ascii="仿宋_GB2312" w:hAnsi="宋体" w:eastAsia="仿宋_GB2312"/>
          <w:sz w:val="28"/>
          <w:szCs w:val="28"/>
        </w:rPr>
      </w:pPr>
      <w:r>
        <w:rPr>
          <w:rFonts w:hint="eastAsia" w:ascii="仿宋_GB2312" w:hAnsi="宋体" w:eastAsia="仿宋_GB2312"/>
          <w:sz w:val="28"/>
          <w:szCs w:val="28"/>
        </w:rPr>
        <w:t>经查阅，国内与林下中药材种植技术有关的标准：DB45/T1853-2018中药材田七马尾松林下种植技术规程、DB45/T 2132-2020林下栽培金花茶技术规程；但上述的标准只适用于某种中药材林下种植。未制定有《广西林下中药材种植技术规程 第1部分：总则》。</w:t>
      </w:r>
    </w:p>
    <w:p>
      <w:pPr>
        <w:autoSpaceDE w:val="0"/>
        <w:autoSpaceDN w:val="0"/>
        <w:adjustRightInd w:val="0"/>
        <w:ind w:firstLine="640" w:firstLineChars="200"/>
        <w:jc w:val="left"/>
        <w:rPr>
          <w:rFonts w:ascii="黑体" w:hAnsi="黑体" w:eastAsia="黑体" w:cs="仿宋_GB2312"/>
          <w:sz w:val="32"/>
          <w:szCs w:val="32"/>
        </w:rPr>
      </w:pPr>
      <w:bookmarkStart w:id="2" w:name="_Toc526940086"/>
      <w:r>
        <w:rPr>
          <w:rFonts w:hint="eastAsia" w:ascii="黑体" w:hAnsi="黑体" w:eastAsia="黑体" w:cs="仿宋_GB2312"/>
          <w:sz w:val="32"/>
          <w:szCs w:val="32"/>
        </w:rPr>
        <w:t>七、</w:t>
      </w:r>
      <w:bookmarkEnd w:id="2"/>
      <w:r>
        <w:rPr>
          <w:rFonts w:hint="eastAsia" w:ascii="黑体" w:hAnsi="黑体" w:eastAsia="黑体" w:cs="仿宋_GB2312"/>
          <w:sz w:val="32"/>
          <w:szCs w:val="32"/>
        </w:rPr>
        <w:t>重大分歧意见的处理经过和依据</w:t>
      </w:r>
    </w:p>
    <w:p>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本标准研制过程中无重大分歧意见。</w:t>
      </w:r>
    </w:p>
    <w:p>
      <w:pPr>
        <w:autoSpaceDE w:val="0"/>
        <w:autoSpaceDN w:val="0"/>
        <w:adjustRightInd w:val="0"/>
        <w:ind w:firstLine="640" w:firstLineChars="200"/>
        <w:jc w:val="left"/>
        <w:rPr>
          <w:rFonts w:hint="eastAsia" w:ascii="黑体" w:hAnsi="黑体" w:eastAsia="黑体" w:cs="仿宋_GB2312"/>
          <w:sz w:val="32"/>
          <w:szCs w:val="32"/>
        </w:rPr>
      </w:pPr>
      <w:r>
        <w:rPr>
          <w:rFonts w:hint="eastAsia" w:ascii="黑体" w:hAnsi="黑体" w:eastAsia="黑体" w:cs="仿宋_GB2312"/>
          <w:sz w:val="32"/>
          <w:szCs w:val="32"/>
          <w:lang w:eastAsia="zh-CN"/>
        </w:rPr>
        <w:t>八</w:t>
      </w:r>
      <w:r>
        <w:rPr>
          <w:rFonts w:hint="eastAsia" w:ascii="黑体" w:hAnsi="黑体" w:eastAsia="黑体" w:cs="仿宋_GB2312"/>
          <w:sz w:val="32"/>
          <w:szCs w:val="32"/>
        </w:rPr>
        <w:t>、自我承诺</w:t>
      </w:r>
    </w:p>
    <w:p>
      <w:pPr>
        <w:spacing w:line="520"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rPr>
        <w:t>承诺标准内容和各项指标不低于国家强制性标准。也没存在内容或某项指标低于推荐性国家标准的情况</w:t>
      </w:r>
      <w:r>
        <w:rPr>
          <w:rFonts w:hint="eastAsia" w:ascii="仿宋_GB2312" w:hAnsi="宋体" w:eastAsia="仿宋_GB2312"/>
          <w:sz w:val="28"/>
          <w:szCs w:val="28"/>
          <w:lang w:eastAsia="zh-CN"/>
        </w:rPr>
        <w:t>。</w:t>
      </w:r>
    </w:p>
    <w:p>
      <w:pPr>
        <w:spacing w:line="520" w:lineRule="exact"/>
        <w:rPr>
          <w:rFonts w:ascii="仿宋_GB2312" w:hAnsi="仿宋" w:eastAsia="仿宋_GB2312"/>
          <w:bCs/>
          <w:color w:val="000000"/>
          <w:sz w:val="32"/>
          <w:szCs w:val="32"/>
        </w:rPr>
      </w:pPr>
    </w:p>
    <w:p>
      <w:pPr>
        <w:spacing w:line="520" w:lineRule="exact"/>
        <w:rPr>
          <w:rFonts w:ascii="仿宋_GB2312" w:hAnsi="仿宋" w:eastAsia="仿宋_GB2312"/>
          <w:bCs/>
          <w:color w:val="000000"/>
          <w:sz w:val="32"/>
          <w:szCs w:val="32"/>
        </w:rPr>
      </w:pPr>
    </w:p>
    <w:p>
      <w:pPr>
        <w:spacing w:line="52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团体标准《</w:t>
      </w:r>
      <w:r>
        <w:rPr>
          <w:rFonts w:hint="eastAsia" w:ascii="仿宋_GB2312" w:hAnsi="仿宋_GB2312" w:eastAsia="仿宋_GB2312" w:cs="仿宋_GB2312"/>
          <w:sz w:val="32"/>
          <w:szCs w:val="32"/>
          <w:lang w:eastAsia="zh-CN"/>
        </w:rPr>
        <w:t>广西林下中药材种植技术规程  第1部分：总则</w:t>
      </w:r>
      <w:r>
        <w:rPr>
          <w:rFonts w:hint="eastAsia" w:ascii="仿宋_GB2312" w:hAnsi="仿宋_GB2312" w:eastAsia="仿宋_GB2312" w:cs="仿宋_GB2312"/>
          <w:sz w:val="32"/>
          <w:szCs w:val="32"/>
        </w:rPr>
        <w:t>》</w:t>
      </w:r>
    </w:p>
    <w:p>
      <w:pPr>
        <w:spacing w:line="520" w:lineRule="exact"/>
        <w:ind w:right="112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标准编制工作组</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2021年</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sectPr>
      <w:footerReference r:id="rId3" w:type="default"/>
      <w:pgSz w:w="11906" w:h="16838"/>
      <w:pgMar w:top="1474" w:right="1474" w:bottom="147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F73E57"/>
    <w:multiLevelType w:val="singleLevel"/>
    <w:tmpl w:val="BCF73E57"/>
    <w:lvl w:ilvl="0" w:tentative="0">
      <w:start w:val="5"/>
      <w:numFmt w:val="chineseCounting"/>
      <w:suff w:val="nothing"/>
      <w:lvlText w:val="%1、"/>
      <w:lvlJc w:val="left"/>
      <w:rPr>
        <w:rFonts w:hint="eastAsia"/>
      </w:rPr>
    </w:lvl>
  </w:abstractNum>
  <w:abstractNum w:abstractNumId="1">
    <w:nsid w:val="079102AD"/>
    <w:multiLevelType w:val="multilevel"/>
    <w:tmpl w:val="079102AD"/>
    <w:lvl w:ilvl="0" w:tentative="0">
      <w:start w:val="1"/>
      <w:numFmt w:val="decimal"/>
      <w:pStyle w:val="1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DDE2B46"/>
    <w:multiLevelType w:val="multilevel"/>
    <w:tmpl w:val="0DDE2B46"/>
    <w:lvl w:ilvl="0" w:tentative="0">
      <w:start w:val="1"/>
      <w:numFmt w:val="lowerLetter"/>
      <w:pStyle w:val="23"/>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3">
    <w:nsid w:val="1DBF583A"/>
    <w:multiLevelType w:val="multilevel"/>
    <w:tmpl w:val="1DBF583A"/>
    <w:lvl w:ilvl="0" w:tentative="0">
      <w:start w:val="1"/>
      <w:numFmt w:val="decimal"/>
      <w:pStyle w:val="22"/>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4">
    <w:nsid w:val="1FC91163"/>
    <w:multiLevelType w:val="multilevel"/>
    <w:tmpl w:val="1FC91163"/>
    <w:lvl w:ilvl="0" w:tentative="0">
      <w:start w:val="1"/>
      <w:numFmt w:val="decimal"/>
      <w:pStyle w:val="1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3"/>
      <w:suff w:val="nothing"/>
      <w:lvlText w:val="%1.%2　"/>
      <w:lvlJc w:val="left"/>
      <w:pPr>
        <w:ind w:left="525"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15"/>
      <w:suff w:val="nothing"/>
      <w:lvlText w:val="%1.%2.%3　"/>
      <w:lvlJc w:val="left"/>
      <w:pPr>
        <w:ind w:left="0" w:firstLine="0"/>
      </w:pPr>
      <w:rPr>
        <w:rFonts w:hint="eastAsia" w:ascii="黑体" w:hAnsi="Times New Roman" w:eastAsia="黑体"/>
        <w:b w:val="0"/>
        <w:i w:val="0"/>
        <w:sz w:val="21"/>
      </w:rPr>
    </w:lvl>
    <w:lvl w:ilvl="3" w:tentative="0">
      <w:start w:val="1"/>
      <w:numFmt w:val="decimal"/>
      <w:pStyle w:val="16"/>
      <w:suff w:val="nothing"/>
      <w:lvlText w:val="%1.%2.%3.%4　"/>
      <w:lvlJc w:val="left"/>
      <w:pPr>
        <w:ind w:left="0" w:firstLine="0"/>
      </w:pPr>
      <w:rPr>
        <w:rFonts w:hint="eastAsia" w:ascii="黑体" w:hAnsi="Times New Roman" w:eastAsia="黑体"/>
        <w:b w:val="0"/>
        <w:i w:val="0"/>
        <w:sz w:val="21"/>
      </w:rPr>
    </w:lvl>
    <w:lvl w:ilvl="4" w:tentative="0">
      <w:start w:val="1"/>
      <w:numFmt w:val="decimal"/>
      <w:pStyle w:val="17"/>
      <w:suff w:val="nothing"/>
      <w:lvlText w:val="%1.%2.%3.%4.%5　"/>
      <w:lvlJc w:val="left"/>
      <w:pPr>
        <w:ind w:left="0" w:firstLine="0"/>
      </w:pPr>
      <w:rPr>
        <w:rFonts w:hint="eastAsia" w:ascii="黑体" w:hAnsi="Times New Roman" w:eastAsia="黑体"/>
        <w:b w:val="0"/>
        <w:i w:val="0"/>
        <w:sz w:val="21"/>
      </w:rPr>
    </w:lvl>
    <w:lvl w:ilvl="5" w:tentative="0">
      <w:start w:val="1"/>
      <w:numFmt w:val="decimal"/>
      <w:pStyle w:val="1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A8F7113"/>
    <w:multiLevelType w:val="multilevel"/>
    <w:tmpl w:val="2A8F7113"/>
    <w:lvl w:ilvl="0" w:tentative="0">
      <w:start w:val="1"/>
      <w:numFmt w:val="upperLetter"/>
      <w:pStyle w:val="20"/>
      <w:suff w:val="space"/>
      <w:lvlText w:val="%1"/>
      <w:lvlJc w:val="left"/>
      <w:pPr>
        <w:ind w:left="623" w:hanging="425"/>
      </w:pPr>
      <w:rPr>
        <w:rFonts w:hint="eastAsia"/>
      </w:rPr>
    </w:lvl>
    <w:lvl w:ilvl="1" w:tentative="0">
      <w:start w:val="1"/>
      <w:numFmt w:val="decimal"/>
      <w:pStyle w:val="2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557C2AF5"/>
    <w:multiLevelType w:val="multilevel"/>
    <w:tmpl w:val="557C2AF5"/>
    <w:lvl w:ilvl="0" w:tentative="0">
      <w:start w:val="1"/>
      <w:numFmt w:val="decimal"/>
      <w:pStyle w:val="12"/>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8">
    <w:nsid w:val="646260FA"/>
    <w:multiLevelType w:val="multilevel"/>
    <w:tmpl w:val="646260FA"/>
    <w:lvl w:ilvl="0" w:tentative="0">
      <w:start w:val="1"/>
      <w:numFmt w:val="decimal"/>
      <w:pStyle w:val="1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8"/>
  </w:num>
  <w:num w:numId="2">
    <w:abstractNumId w:val="6"/>
  </w:num>
  <w:num w:numId="3">
    <w:abstractNumId w:val="4"/>
  </w:num>
  <w:num w:numId="4">
    <w:abstractNumId w:val="1"/>
  </w:num>
  <w:num w:numId="5">
    <w:abstractNumId w:val="5"/>
  </w:num>
  <w:num w:numId="6">
    <w:abstractNumId w:val="3"/>
  </w:num>
  <w:num w:numId="7">
    <w:abstractNumId w:val="2"/>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13090"/>
    <w:rsid w:val="00016837"/>
    <w:rsid w:val="00021331"/>
    <w:rsid w:val="00024212"/>
    <w:rsid w:val="00024664"/>
    <w:rsid w:val="00033257"/>
    <w:rsid w:val="00034233"/>
    <w:rsid w:val="00034BDB"/>
    <w:rsid w:val="000576D0"/>
    <w:rsid w:val="00057758"/>
    <w:rsid w:val="0007330D"/>
    <w:rsid w:val="00073F72"/>
    <w:rsid w:val="00076BBA"/>
    <w:rsid w:val="00080F2F"/>
    <w:rsid w:val="0009177A"/>
    <w:rsid w:val="00093E74"/>
    <w:rsid w:val="000962F6"/>
    <w:rsid w:val="000A0201"/>
    <w:rsid w:val="000A4601"/>
    <w:rsid w:val="000A77CD"/>
    <w:rsid w:val="000D0ACE"/>
    <w:rsid w:val="000D15BE"/>
    <w:rsid w:val="000D5AC8"/>
    <w:rsid w:val="000D6612"/>
    <w:rsid w:val="000D751C"/>
    <w:rsid w:val="000D7F33"/>
    <w:rsid w:val="000F10EB"/>
    <w:rsid w:val="000F3365"/>
    <w:rsid w:val="000F517A"/>
    <w:rsid w:val="00101D2E"/>
    <w:rsid w:val="00103B83"/>
    <w:rsid w:val="00105252"/>
    <w:rsid w:val="00106661"/>
    <w:rsid w:val="00110864"/>
    <w:rsid w:val="00110F43"/>
    <w:rsid w:val="00112415"/>
    <w:rsid w:val="00114946"/>
    <w:rsid w:val="00126CA6"/>
    <w:rsid w:val="001273E7"/>
    <w:rsid w:val="00127EB0"/>
    <w:rsid w:val="00131B03"/>
    <w:rsid w:val="00133786"/>
    <w:rsid w:val="00134DD4"/>
    <w:rsid w:val="0015152A"/>
    <w:rsid w:val="00156663"/>
    <w:rsid w:val="001611BB"/>
    <w:rsid w:val="00183467"/>
    <w:rsid w:val="00190A64"/>
    <w:rsid w:val="001923CF"/>
    <w:rsid w:val="001925FD"/>
    <w:rsid w:val="00194FE3"/>
    <w:rsid w:val="00196054"/>
    <w:rsid w:val="0019711F"/>
    <w:rsid w:val="001A0DBF"/>
    <w:rsid w:val="001A3402"/>
    <w:rsid w:val="001B36E5"/>
    <w:rsid w:val="001B3B17"/>
    <w:rsid w:val="001C5F01"/>
    <w:rsid w:val="001C793C"/>
    <w:rsid w:val="001D22F0"/>
    <w:rsid w:val="001D64DB"/>
    <w:rsid w:val="001D7816"/>
    <w:rsid w:val="001E5000"/>
    <w:rsid w:val="001F07A8"/>
    <w:rsid w:val="001F241E"/>
    <w:rsid w:val="001F660A"/>
    <w:rsid w:val="00205603"/>
    <w:rsid w:val="002116FB"/>
    <w:rsid w:val="00214221"/>
    <w:rsid w:val="002223DD"/>
    <w:rsid w:val="002231E8"/>
    <w:rsid w:val="00223EB7"/>
    <w:rsid w:val="00231E62"/>
    <w:rsid w:val="00232769"/>
    <w:rsid w:val="00244ADA"/>
    <w:rsid w:val="002465C7"/>
    <w:rsid w:val="00254F7A"/>
    <w:rsid w:val="00256FE0"/>
    <w:rsid w:val="002621E1"/>
    <w:rsid w:val="00262753"/>
    <w:rsid w:val="00262771"/>
    <w:rsid w:val="00264A7D"/>
    <w:rsid w:val="00264CE4"/>
    <w:rsid w:val="00283085"/>
    <w:rsid w:val="0029084D"/>
    <w:rsid w:val="00291EF3"/>
    <w:rsid w:val="002A4D06"/>
    <w:rsid w:val="002B07E3"/>
    <w:rsid w:val="002B2E35"/>
    <w:rsid w:val="002C4FFB"/>
    <w:rsid w:val="002C5534"/>
    <w:rsid w:val="002C611B"/>
    <w:rsid w:val="002C73B6"/>
    <w:rsid w:val="002D6D1E"/>
    <w:rsid w:val="002E073F"/>
    <w:rsid w:val="002E7A35"/>
    <w:rsid w:val="002F34AA"/>
    <w:rsid w:val="002F4D7B"/>
    <w:rsid w:val="002F513F"/>
    <w:rsid w:val="002F613B"/>
    <w:rsid w:val="003025DF"/>
    <w:rsid w:val="00303E23"/>
    <w:rsid w:val="00306925"/>
    <w:rsid w:val="003144B8"/>
    <w:rsid w:val="0033375C"/>
    <w:rsid w:val="0034090F"/>
    <w:rsid w:val="00343C24"/>
    <w:rsid w:val="00345BCC"/>
    <w:rsid w:val="00353735"/>
    <w:rsid w:val="00357A1D"/>
    <w:rsid w:val="00357E18"/>
    <w:rsid w:val="0036001E"/>
    <w:rsid w:val="00362F10"/>
    <w:rsid w:val="00373BAD"/>
    <w:rsid w:val="00382AB2"/>
    <w:rsid w:val="00392E22"/>
    <w:rsid w:val="003B5050"/>
    <w:rsid w:val="003C2D44"/>
    <w:rsid w:val="003C483D"/>
    <w:rsid w:val="003D5CB5"/>
    <w:rsid w:val="003E330B"/>
    <w:rsid w:val="003E4A86"/>
    <w:rsid w:val="003F284D"/>
    <w:rsid w:val="003F28D0"/>
    <w:rsid w:val="003F3119"/>
    <w:rsid w:val="003F392A"/>
    <w:rsid w:val="003F3AAC"/>
    <w:rsid w:val="003F727B"/>
    <w:rsid w:val="0040035D"/>
    <w:rsid w:val="00404BD1"/>
    <w:rsid w:val="0040610D"/>
    <w:rsid w:val="00406A80"/>
    <w:rsid w:val="0042062E"/>
    <w:rsid w:val="00424AF1"/>
    <w:rsid w:val="00424FCB"/>
    <w:rsid w:val="00425860"/>
    <w:rsid w:val="00434E46"/>
    <w:rsid w:val="00434F90"/>
    <w:rsid w:val="004378E4"/>
    <w:rsid w:val="0044118D"/>
    <w:rsid w:val="004441BD"/>
    <w:rsid w:val="004503F4"/>
    <w:rsid w:val="00455661"/>
    <w:rsid w:val="0046025A"/>
    <w:rsid w:val="00460359"/>
    <w:rsid w:val="004605D8"/>
    <w:rsid w:val="004626AF"/>
    <w:rsid w:val="00465230"/>
    <w:rsid w:val="00467DEF"/>
    <w:rsid w:val="004805D0"/>
    <w:rsid w:val="00480BA1"/>
    <w:rsid w:val="0048357F"/>
    <w:rsid w:val="00484EF3"/>
    <w:rsid w:val="00485212"/>
    <w:rsid w:val="004865C9"/>
    <w:rsid w:val="0049011A"/>
    <w:rsid w:val="00491FE3"/>
    <w:rsid w:val="0049390C"/>
    <w:rsid w:val="004A25C4"/>
    <w:rsid w:val="004A614E"/>
    <w:rsid w:val="004A660C"/>
    <w:rsid w:val="004A76AB"/>
    <w:rsid w:val="004B2E7F"/>
    <w:rsid w:val="004C4136"/>
    <w:rsid w:val="004D5B22"/>
    <w:rsid w:val="004F0593"/>
    <w:rsid w:val="004F48C2"/>
    <w:rsid w:val="004F74F0"/>
    <w:rsid w:val="004F7FA9"/>
    <w:rsid w:val="00505469"/>
    <w:rsid w:val="0051028F"/>
    <w:rsid w:val="0051148B"/>
    <w:rsid w:val="00514C97"/>
    <w:rsid w:val="005159F5"/>
    <w:rsid w:val="00526200"/>
    <w:rsid w:val="005269CF"/>
    <w:rsid w:val="00535AC6"/>
    <w:rsid w:val="00537550"/>
    <w:rsid w:val="005639F8"/>
    <w:rsid w:val="005656AA"/>
    <w:rsid w:val="005742DB"/>
    <w:rsid w:val="00577C08"/>
    <w:rsid w:val="005802BD"/>
    <w:rsid w:val="0058151C"/>
    <w:rsid w:val="00581CE7"/>
    <w:rsid w:val="005870E5"/>
    <w:rsid w:val="005873D6"/>
    <w:rsid w:val="00596702"/>
    <w:rsid w:val="005A1A17"/>
    <w:rsid w:val="005A4523"/>
    <w:rsid w:val="005A4707"/>
    <w:rsid w:val="005B0CDC"/>
    <w:rsid w:val="005B23F7"/>
    <w:rsid w:val="005B7B7E"/>
    <w:rsid w:val="005D06D6"/>
    <w:rsid w:val="005D1EE1"/>
    <w:rsid w:val="005D2AEE"/>
    <w:rsid w:val="005D3F96"/>
    <w:rsid w:val="005D5DDF"/>
    <w:rsid w:val="005D6A5C"/>
    <w:rsid w:val="005E05D4"/>
    <w:rsid w:val="005E207A"/>
    <w:rsid w:val="005E2143"/>
    <w:rsid w:val="005F0995"/>
    <w:rsid w:val="005F1E35"/>
    <w:rsid w:val="005F36D9"/>
    <w:rsid w:val="005F6C71"/>
    <w:rsid w:val="005F71EC"/>
    <w:rsid w:val="006062AE"/>
    <w:rsid w:val="0060656D"/>
    <w:rsid w:val="00606B5A"/>
    <w:rsid w:val="00610884"/>
    <w:rsid w:val="0062702A"/>
    <w:rsid w:val="006404F1"/>
    <w:rsid w:val="0064449B"/>
    <w:rsid w:val="006467C4"/>
    <w:rsid w:val="00651C9C"/>
    <w:rsid w:val="00654D8C"/>
    <w:rsid w:val="006555D8"/>
    <w:rsid w:val="006610FC"/>
    <w:rsid w:val="006670DB"/>
    <w:rsid w:val="00667C57"/>
    <w:rsid w:val="00680EEB"/>
    <w:rsid w:val="006811BF"/>
    <w:rsid w:val="00682D7C"/>
    <w:rsid w:val="00682FAD"/>
    <w:rsid w:val="0068494D"/>
    <w:rsid w:val="006945D3"/>
    <w:rsid w:val="006A1BD7"/>
    <w:rsid w:val="006A3112"/>
    <w:rsid w:val="006B1080"/>
    <w:rsid w:val="006C0CC1"/>
    <w:rsid w:val="006C6B87"/>
    <w:rsid w:val="006C70ED"/>
    <w:rsid w:val="006D4CCC"/>
    <w:rsid w:val="006D5D5F"/>
    <w:rsid w:val="006E155C"/>
    <w:rsid w:val="006F77F7"/>
    <w:rsid w:val="00700D32"/>
    <w:rsid w:val="0070138D"/>
    <w:rsid w:val="0070266E"/>
    <w:rsid w:val="00705429"/>
    <w:rsid w:val="0070730B"/>
    <w:rsid w:val="00712BC5"/>
    <w:rsid w:val="00715CA4"/>
    <w:rsid w:val="00716EAC"/>
    <w:rsid w:val="00720395"/>
    <w:rsid w:val="0072448B"/>
    <w:rsid w:val="00726016"/>
    <w:rsid w:val="0075401E"/>
    <w:rsid w:val="00755471"/>
    <w:rsid w:val="007556A8"/>
    <w:rsid w:val="00760DDA"/>
    <w:rsid w:val="00776FE6"/>
    <w:rsid w:val="007812EA"/>
    <w:rsid w:val="00781F1A"/>
    <w:rsid w:val="00782C84"/>
    <w:rsid w:val="00784D8F"/>
    <w:rsid w:val="007912E9"/>
    <w:rsid w:val="007923BD"/>
    <w:rsid w:val="00793820"/>
    <w:rsid w:val="00797654"/>
    <w:rsid w:val="007A022B"/>
    <w:rsid w:val="007A1A73"/>
    <w:rsid w:val="007A36E9"/>
    <w:rsid w:val="007A5B26"/>
    <w:rsid w:val="007A710B"/>
    <w:rsid w:val="007B4614"/>
    <w:rsid w:val="007B7812"/>
    <w:rsid w:val="007C4C1F"/>
    <w:rsid w:val="007D4356"/>
    <w:rsid w:val="007D520B"/>
    <w:rsid w:val="007D5225"/>
    <w:rsid w:val="007D6192"/>
    <w:rsid w:val="007D646F"/>
    <w:rsid w:val="007E0035"/>
    <w:rsid w:val="007F05BA"/>
    <w:rsid w:val="007F17C2"/>
    <w:rsid w:val="007F3051"/>
    <w:rsid w:val="007F445F"/>
    <w:rsid w:val="007F69C4"/>
    <w:rsid w:val="00805B1A"/>
    <w:rsid w:val="00812666"/>
    <w:rsid w:val="00825BEF"/>
    <w:rsid w:val="008275DE"/>
    <w:rsid w:val="0083025F"/>
    <w:rsid w:val="00831A4E"/>
    <w:rsid w:val="00834F29"/>
    <w:rsid w:val="00843099"/>
    <w:rsid w:val="00844A63"/>
    <w:rsid w:val="0085555C"/>
    <w:rsid w:val="00860076"/>
    <w:rsid w:val="00864B42"/>
    <w:rsid w:val="00864EDC"/>
    <w:rsid w:val="008766A7"/>
    <w:rsid w:val="0088023F"/>
    <w:rsid w:val="008853E8"/>
    <w:rsid w:val="00890B67"/>
    <w:rsid w:val="00893361"/>
    <w:rsid w:val="00893CE3"/>
    <w:rsid w:val="0089684C"/>
    <w:rsid w:val="008A42EB"/>
    <w:rsid w:val="008A4E58"/>
    <w:rsid w:val="008A5709"/>
    <w:rsid w:val="008B1A6F"/>
    <w:rsid w:val="008B7C56"/>
    <w:rsid w:val="008C1BE0"/>
    <w:rsid w:val="008D1502"/>
    <w:rsid w:val="008D2E6B"/>
    <w:rsid w:val="008D3059"/>
    <w:rsid w:val="008D44E2"/>
    <w:rsid w:val="008D5C1F"/>
    <w:rsid w:val="008E0C90"/>
    <w:rsid w:val="008F024A"/>
    <w:rsid w:val="00900B1D"/>
    <w:rsid w:val="00910D7C"/>
    <w:rsid w:val="00911CE5"/>
    <w:rsid w:val="0091490C"/>
    <w:rsid w:val="009204DB"/>
    <w:rsid w:val="0092128F"/>
    <w:rsid w:val="009220D3"/>
    <w:rsid w:val="009226F2"/>
    <w:rsid w:val="00926314"/>
    <w:rsid w:val="00930317"/>
    <w:rsid w:val="00933333"/>
    <w:rsid w:val="00936A0A"/>
    <w:rsid w:val="0094724D"/>
    <w:rsid w:val="00954E13"/>
    <w:rsid w:val="0096452B"/>
    <w:rsid w:val="00975377"/>
    <w:rsid w:val="00981308"/>
    <w:rsid w:val="00983CDC"/>
    <w:rsid w:val="00983E62"/>
    <w:rsid w:val="00984743"/>
    <w:rsid w:val="00987A4E"/>
    <w:rsid w:val="0099188F"/>
    <w:rsid w:val="00995822"/>
    <w:rsid w:val="00997A44"/>
    <w:rsid w:val="009A7254"/>
    <w:rsid w:val="009B2BF4"/>
    <w:rsid w:val="009B52A3"/>
    <w:rsid w:val="009B53BA"/>
    <w:rsid w:val="009B609B"/>
    <w:rsid w:val="009B6F4E"/>
    <w:rsid w:val="009B6FA5"/>
    <w:rsid w:val="009B74CD"/>
    <w:rsid w:val="009D38DB"/>
    <w:rsid w:val="009D3D0A"/>
    <w:rsid w:val="009E1F06"/>
    <w:rsid w:val="009E5DEF"/>
    <w:rsid w:val="009E6B6B"/>
    <w:rsid w:val="009F79E3"/>
    <w:rsid w:val="00A04E49"/>
    <w:rsid w:val="00A10236"/>
    <w:rsid w:val="00A10B7E"/>
    <w:rsid w:val="00A11E9D"/>
    <w:rsid w:val="00A25268"/>
    <w:rsid w:val="00A34924"/>
    <w:rsid w:val="00A35F3F"/>
    <w:rsid w:val="00A40234"/>
    <w:rsid w:val="00A4496C"/>
    <w:rsid w:val="00A51BDA"/>
    <w:rsid w:val="00A52FED"/>
    <w:rsid w:val="00A547EA"/>
    <w:rsid w:val="00A54EE3"/>
    <w:rsid w:val="00A60040"/>
    <w:rsid w:val="00A64033"/>
    <w:rsid w:val="00A66230"/>
    <w:rsid w:val="00A66B33"/>
    <w:rsid w:val="00A7226B"/>
    <w:rsid w:val="00A80E57"/>
    <w:rsid w:val="00A928C5"/>
    <w:rsid w:val="00A955A3"/>
    <w:rsid w:val="00A958C2"/>
    <w:rsid w:val="00A95C9E"/>
    <w:rsid w:val="00A96933"/>
    <w:rsid w:val="00AA6572"/>
    <w:rsid w:val="00AB0EDD"/>
    <w:rsid w:val="00AB238D"/>
    <w:rsid w:val="00AC5DC1"/>
    <w:rsid w:val="00AD1275"/>
    <w:rsid w:val="00AD56BA"/>
    <w:rsid w:val="00AF00B0"/>
    <w:rsid w:val="00AF0B6E"/>
    <w:rsid w:val="00AF0C1B"/>
    <w:rsid w:val="00AF1152"/>
    <w:rsid w:val="00AF20DE"/>
    <w:rsid w:val="00AF2C7E"/>
    <w:rsid w:val="00AF337C"/>
    <w:rsid w:val="00AF365B"/>
    <w:rsid w:val="00B0152E"/>
    <w:rsid w:val="00B06F77"/>
    <w:rsid w:val="00B17EA4"/>
    <w:rsid w:val="00B2401D"/>
    <w:rsid w:val="00B27F1E"/>
    <w:rsid w:val="00B320E0"/>
    <w:rsid w:val="00B35A2B"/>
    <w:rsid w:val="00B44C87"/>
    <w:rsid w:val="00B525E7"/>
    <w:rsid w:val="00B5298A"/>
    <w:rsid w:val="00B52BC2"/>
    <w:rsid w:val="00B54B9E"/>
    <w:rsid w:val="00B5655B"/>
    <w:rsid w:val="00B602C0"/>
    <w:rsid w:val="00B65AA6"/>
    <w:rsid w:val="00B736AC"/>
    <w:rsid w:val="00B753D4"/>
    <w:rsid w:val="00B804DA"/>
    <w:rsid w:val="00B91C42"/>
    <w:rsid w:val="00BB0ED6"/>
    <w:rsid w:val="00BB1C0A"/>
    <w:rsid w:val="00BB4B74"/>
    <w:rsid w:val="00BB6FED"/>
    <w:rsid w:val="00BC41B2"/>
    <w:rsid w:val="00BC45B6"/>
    <w:rsid w:val="00BC4F9E"/>
    <w:rsid w:val="00BE0799"/>
    <w:rsid w:val="00BF1119"/>
    <w:rsid w:val="00BF5510"/>
    <w:rsid w:val="00C070A2"/>
    <w:rsid w:val="00C10D37"/>
    <w:rsid w:val="00C17E66"/>
    <w:rsid w:val="00C3032A"/>
    <w:rsid w:val="00C31C6D"/>
    <w:rsid w:val="00C31FF2"/>
    <w:rsid w:val="00C33C36"/>
    <w:rsid w:val="00C44645"/>
    <w:rsid w:val="00C50A3F"/>
    <w:rsid w:val="00C51847"/>
    <w:rsid w:val="00C6137D"/>
    <w:rsid w:val="00C61540"/>
    <w:rsid w:val="00C61B0C"/>
    <w:rsid w:val="00C67D4C"/>
    <w:rsid w:val="00C706FA"/>
    <w:rsid w:val="00C81D18"/>
    <w:rsid w:val="00C82258"/>
    <w:rsid w:val="00C82744"/>
    <w:rsid w:val="00C836D9"/>
    <w:rsid w:val="00C843F0"/>
    <w:rsid w:val="00C85F66"/>
    <w:rsid w:val="00CA0CFD"/>
    <w:rsid w:val="00CA37C8"/>
    <w:rsid w:val="00CA5047"/>
    <w:rsid w:val="00CC4EE7"/>
    <w:rsid w:val="00CD5C22"/>
    <w:rsid w:val="00CE363E"/>
    <w:rsid w:val="00CF1430"/>
    <w:rsid w:val="00CF1AE4"/>
    <w:rsid w:val="00D0046C"/>
    <w:rsid w:val="00D00979"/>
    <w:rsid w:val="00D01E3B"/>
    <w:rsid w:val="00D06EEA"/>
    <w:rsid w:val="00D11946"/>
    <w:rsid w:val="00D14F71"/>
    <w:rsid w:val="00D15612"/>
    <w:rsid w:val="00D17A89"/>
    <w:rsid w:val="00D21619"/>
    <w:rsid w:val="00D21B1B"/>
    <w:rsid w:val="00D220B5"/>
    <w:rsid w:val="00D26063"/>
    <w:rsid w:val="00D32832"/>
    <w:rsid w:val="00D33C76"/>
    <w:rsid w:val="00D34827"/>
    <w:rsid w:val="00D41F8D"/>
    <w:rsid w:val="00D451AB"/>
    <w:rsid w:val="00D50991"/>
    <w:rsid w:val="00D578AF"/>
    <w:rsid w:val="00D61DA0"/>
    <w:rsid w:val="00D65D7A"/>
    <w:rsid w:val="00D6793A"/>
    <w:rsid w:val="00D7347C"/>
    <w:rsid w:val="00D74D7F"/>
    <w:rsid w:val="00D80F6F"/>
    <w:rsid w:val="00D9342C"/>
    <w:rsid w:val="00D944CB"/>
    <w:rsid w:val="00DA59FA"/>
    <w:rsid w:val="00DB295F"/>
    <w:rsid w:val="00DB3826"/>
    <w:rsid w:val="00DB47DC"/>
    <w:rsid w:val="00DB74F2"/>
    <w:rsid w:val="00DC205C"/>
    <w:rsid w:val="00DC5687"/>
    <w:rsid w:val="00DC7A5D"/>
    <w:rsid w:val="00DD1CF8"/>
    <w:rsid w:val="00DD6102"/>
    <w:rsid w:val="00DD71F1"/>
    <w:rsid w:val="00DE00C5"/>
    <w:rsid w:val="00DE3FB5"/>
    <w:rsid w:val="00E00D0A"/>
    <w:rsid w:val="00E07B93"/>
    <w:rsid w:val="00E07E15"/>
    <w:rsid w:val="00E161F8"/>
    <w:rsid w:val="00E32815"/>
    <w:rsid w:val="00E40596"/>
    <w:rsid w:val="00E40BA9"/>
    <w:rsid w:val="00E41B77"/>
    <w:rsid w:val="00E45EC3"/>
    <w:rsid w:val="00E47C4F"/>
    <w:rsid w:val="00E541A3"/>
    <w:rsid w:val="00E637BB"/>
    <w:rsid w:val="00E638C8"/>
    <w:rsid w:val="00E658DD"/>
    <w:rsid w:val="00E65D7E"/>
    <w:rsid w:val="00E82204"/>
    <w:rsid w:val="00E8377B"/>
    <w:rsid w:val="00E83A77"/>
    <w:rsid w:val="00E8796C"/>
    <w:rsid w:val="00E90251"/>
    <w:rsid w:val="00E933C0"/>
    <w:rsid w:val="00E962B7"/>
    <w:rsid w:val="00E96877"/>
    <w:rsid w:val="00E978BF"/>
    <w:rsid w:val="00EA1188"/>
    <w:rsid w:val="00EB0752"/>
    <w:rsid w:val="00EB77CC"/>
    <w:rsid w:val="00EC0997"/>
    <w:rsid w:val="00ED30F4"/>
    <w:rsid w:val="00ED43BB"/>
    <w:rsid w:val="00ED68E9"/>
    <w:rsid w:val="00EE1FC2"/>
    <w:rsid w:val="00EF670C"/>
    <w:rsid w:val="00F1455B"/>
    <w:rsid w:val="00F16D36"/>
    <w:rsid w:val="00F210FD"/>
    <w:rsid w:val="00F33087"/>
    <w:rsid w:val="00F350B2"/>
    <w:rsid w:val="00F372A2"/>
    <w:rsid w:val="00F4243D"/>
    <w:rsid w:val="00F45BA7"/>
    <w:rsid w:val="00F45BE9"/>
    <w:rsid w:val="00F46308"/>
    <w:rsid w:val="00F46F4A"/>
    <w:rsid w:val="00F60788"/>
    <w:rsid w:val="00F7063D"/>
    <w:rsid w:val="00F70C88"/>
    <w:rsid w:val="00F7168A"/>
    <w:rsid w:val="00F734AD"/>
    <w:rsid w:val="00F76618"/>
    <w:rsid w:val="00F76E42"/>
    <w:rsid w:val="00F81D1B"/>
    <w:rsid w:val="00F84292"/>
    <w:rsid w:val="00F85E04"/>
    <w:rsid w:val="00F864DA"/>
    <w:rsid w:val="00F92643"/>
    <w:rsid w:val="00F936B3"/>
    <w:rsid w:val="00F97F7D"/>
    <w:rsid w:val="00FA0333"/>
    <w:rsid w:val="00FA19D5"/>
    <w:rsid w:val="00FA3EE8"/>
    <w:rsid w:val="00FB3E2C"/>
    <w:rsid w:val="00FC19B9"/>
    <w:rsid w:val="00FD00A5"/>
    <w:rsid w:val="00FD4B0F"/>
    <w:rsid w:val="00FF0C09"/>
    <w:rsid w:val="01CE5D1C"/>
    <w:rsid w:val="039E595D"/>
    <w:rsid w:val="070F07F6"/>
    <w:rsid w:val="08083403"/>
    <w:rsid w:val="09BE5E2A"/>
    <w:rsid w:val="0A091F73"/>
    <w:rsid w:val="0A8504E9"/>
    <w:rsid w:val="0D92619C"/>
    <w:rsid w:val="0F3C5BB5"/>
    <w:rsid w:val="0F412CA9"/>
    <w:rsid w:val="0FD566D2"/>
    <w:rsid w:val="13B2170D"/>
    <w:rsid w:val="13B97480"/>
    <w:rsid w:val="14034EB5"/>
    <w:rsid w:val="14870494"/>
    <w:rsid w:val="15085E8C"/>
    <w:rsid w:val="15174F60"/>
    <w:rsid w:val="1556095A"/>
    <w:rsid w:val="167D7F24"/>
    <w:rsid w:val="16CD23E8"/>
    <w:rsid w:val="17306AB5"/>
    <w:rsid w:val="17373F64"/>
    <w:rsid w:val="19A054D6"/>
    <w:rsid w:val="1B0717C8"/>
    <w:rsid w:val="1BE33681"/>
    <w:rsid w:val="1D684CC5"/>
    <w:rsid w:val="21862EC6"/>
    <w:rsid w:val="237A2B2A"/>
    <w:rsid w:val="2C4F36F5"/>
    <w:rsid w:val="2D5F22BD"/>
    <w:rsid w:val="2FF37D11"/>
    <w:rsid w:val="3013049D"/>
    <w:rsid w:val="332C3D99"/>
    <w:rsid w:val="365875C5"/>
    <w:rsid w:val="39356049"/>
    <w:rsid w:val="3B4E60E4"/>
    <w:rsid w:val="3BFE2074"/>
    <w:rsid w:val="3F8C7277"/>
    <w:rsid w:val="3FA0222F"/>
    <w:rsid w:val="42D769B6"/>
    <w:rsid w:val="44F600D3"/>
    <w:rsid w:val="45617704"/>
    <w:rsid w:val="48B048DB"/>
    <w:rsid w:val="4B8C0594"/>
    <w:rsid w:val="4CFE380A"/>
    <w:rsid w:val="4D862B8C"/>
    <w:rsid w:val="4DFF35F5"/>
    <w:rsid w:val="4EF47599"/>
    <w:rsid w:val="4FE3578A"/>
    <w:rsid w:val="54E94B5B"/>
    <w:rsid w:val="55661639"/>
    <w:rsid w:val="55761622"/>
    <w:rsid w:val="5BD857FA"/>
    <w:rsid w:val="5C080481"/>
    <w:rsid w:val="5E202145"/>
    <w:rsid w:val="5FAD4746"/>
    <w:rsid w:val="6031647B"/>
    <w:rsid w:val="62F74A7A"/>
    <w:rsid w:val="668E2223"/>
    <w:rsid w:val="68053611"/>
    <w:rsid w:val="683026D9"/>
    <w:rsid w:val="693F388B"/>
    <w:rsid w:val="6DBA21A1"/>
    <w:rsid w:val="73731F46"/>
    <w:rsid w:val="7AF5051C"/>
    <w:rsid w:val="7BBA680A"/>
    <w:rsid w:val="7BE826AE"/>
    <w:rsid w:val="7CCF532E"/>
    <w:rsid w:val="7E00338F"/>
    <w:rsid w:val="7FAE66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6"/>
    <w:qFormat/>
    <w:uiPriority w:val="0"/>
    <w:pPr>
      <w:tabs>
        <w:tab w:val="center" w:pos="4153"/>
        <w:tab w:val="right" w:pos="8306"/>
      </w:tabs>
      <w:snapToGrid w:val="0"/>
      <w:jc w:val="left"/>
    </w:pPr>
    <w:rPr>
      <w:sz w:val="18"/>
      <w:szCs w:val="18"/>
    </w:rPr>
  </w:style>
  <w:style w:type="paragraph" w:styleId="3">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100" w:beforeAutospacing="1" w:after="100" w:afterAutospacing="1"/>
      <w:jc w:val="left"/>
    </w:pPr>
    <w:rPr>
      <w:kern w:val="0"/>
      <w:sz w:val="24"/>
    </w:rPr>
  </w:style>
  <w:style w:type="table" w:styleId="6">
    <w:name w:val="Table Grid"/>
    <w:basedOn w:val="5"/>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Hyperlink"/>
    <w:basedOn w:val="7"/>
    <w:unhideWhenUsed/>
    <w:qFormat/>
    <w:uiPriority w:val="99"/>
    <w:rPr>
      <w:color w:val="0000FF"/>
      <w:u w:val="single"/>
    </w:rPr>
  </w:style>
  <w:style w:type="paragraph" w:customStyle="1" w:styleId="9">
    <w:name w:val="段"/>
    <w:link w:val="2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0">
    <w:name w:val="正文表标题"/>
    <w:next w:val="9"/>
    <w:qFormat/>
    <w:uiPriority w:val="0"/>
    <w:pPr>
      <w:spacing w:before="156" w:beforeLines="50" w:after="156" w:afterLines="50"/>
      <w:jc w:val="center"/>
    </w:pPr>
    <w:rPr>
      <w:rFonts w:ascii="黑体" w:hAnsi="Times New Roman" w:eastAsia="黑体" w:cs="Times New Roman"/>
      <w:sz w:val="21"/>
      <w:lang w:val="en-US" w:eastAsia="zh-CN" w:bidi="ar-SA"/>
    </w:rPr>
  </w:style>
  <w:style w:type="paragraph" w:customStyle="1" w:styleId="11">
    <w:name w:val="正文图标题"/>
    <w:next w:val="9"/>
    <w:qFormat/>
    <w:uiPriority w:val="0"/>
    <w:pPr>
      <w:numPr>
        <w:ilvl w:val="0"/>
        <w:numId w:val="1"/>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3">
    <w:name w:val="一级条标题"/>
    <w:next w:val="9"/>
    <w:qFormat/>
    <w:uiPriority w:val="0"/>
    <w:pPr>
      <w:numPr>
        <w:ilvl w:val="1"/>
        <w:numId w:val="3"/>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4">
    <w:name w:val="章标题"/>
    <w:next w:val="9"/>
    <w:qFormat/>
    <w:uiPriority w:val="0"/>
    <w:pPr>
      <w:numPr>
        <w:ilvl w:val="0"/>
        <w:numId w:val="3"/>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5">
    <w:name w:val="二级条标题"/>
    <w:basedOn w:val="13"/>
    <w:next w:val="9"/>
    <w:qFormat/>
    <w:uiPriority w:val="0"/>
    <w:pPr>
      <w:numPr>
        <w:ilvl w:val="2"/>
      </w:numPr>
      <w:spacing w:before="50" w:after="50"/>
      <w:outlineLvl w:val="3"/>
    </w:pPr>
  </w:style>
  <w:style w:type="paragraph" w:customStyle="1" w:styleId="16">
    <w:name w:val="三级条标题"/>
    <w:basedOn w:val="15"/>
    <w:next w:val="9"/>
    <w:qFormat/>
    <w:uiPriority w:val="0"/>
    <w:pPr>
      <w:numPr>
        <w:ilvl w:val="3"/>
      </w:numPr>
      <w:outlineLvl w:val="4"/>
    </w:pPr>
  </w:style>
  <w:style w:type="paragraph" w:customStyle="1" w:styleId="17">
    <w:name w:val="四级条标题"/>
    <w:basedOn w:val="16"/>
    <w:next w:val="9"/>
    <w:qFormat/>
    <w:uiPriority w:val="0"/>
    <w:pPr>
      <w:numPr>
        <w:ilvl w:val="4"/>
      </w:numPr>
      <w:outlineLvl w:val="5"/>
    </w:pPr>
  </w:style>
  <w:style w:type="paragraph" w:customStyle="1" w:styleId="18">
    <w:name w:val="五级条标题"/>
    <w:basedOn w:val="17"/>
    <w:next w:val="9"/>
    <w:qFormat/>
    <w:uiPriority w:val="0"/>
    <w:pPr>
      <w:numPr>
        <w:ilvl w:val="5"/>
      </w:numPr>
      <w:outlineLvl w:val="6"/>
    </w:pPr>
  </w:style>
  <w:style w:type="paragraph" w:customStyle="1" w:styleId="19">
    <w:name w:val="注："/>
    <w:next w:val="9"/>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0">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1">
    <w:name w:val="附录图标题"/>
    <w:basedOn w:val="1"/>
    <w:next w:val="9"/>
    <w:qFormat/>
    <w:uiPriority w:val="0"/>
    <w:pPr>
      <w:numPr>
        <w:ilvl w:val="1"/>
        <w:numId w:val="5"/>
      </w:numPr>
      <w:tabs>
        <w:tab w:val="left" w:pos="363"/>
      </w:tabs>
      <w:spacing w:before="50" w:beforeLines="50" w:after="50" w:afterLines="50"/>
      <w:ind w:left="0" w:firstLine="0"/>
      <w:jc w:val="center"/>
    </w:pPr>
    <w:rPr>
      <w:rFonts w:ascii="黑体" w:eastAsia="黑体"/>
      <w:szCs w:val="21"/>
    </w:rPr>
  </w:style>
  <w:style w:type="paragraph" w:customStyle="1" w:styleId="22">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3">
    <w:name w:val="图表脚注说明"/>
    <w:basedOn w:val="1"/>
    <w:qFormat/>
    <w:uiPriority w:val="0"/>
    <w:pPr>
      <w:numPr>
        <w:ilvl w:val="0"/>
        <w:numId w:val="7"/>
      </w:numPr>
    </w:pPr>
    <w:rPr>
      <w:rFonts w:ascii="宋体"/>
      <w:sz w:val="18"/>
      <w:szCs w:val="18"/>
    </w:rPr>
  </w:style>
  <w:style w:type="character" w:customStyle="1" w:styleId="24">
    <w:name w:val="段 Char"/>
    <w:basedOn w:val="7"/>
    <w:link w:val="9"/>
    <w:qFormat/>
    <w:uiPriority w:val="0"/>
    <w:rPr>
      <w:rFonts w:ascii="宋体"/>
      <w:sz w:val="21"/>
      <w:lang w:val="en-US" w:eastAsia="zh-CN" w:bidi="ar-SA"/>
    </w:rPr>
  </w:style>
  <w:style w:type="character" w:customStyle="1" w:styleId="25">
    <w:name w:val="页眉 字符"/>
    <w:basedOn w:val="7"/>
    <w:link w:val="3"/>
    <w:qFormat/>
    <w:uiPriority w:val="0"/>
    <w:rPr>
      <w:kern w:val="2"/>
      <w:sz w:val="18"/>
      <w:szCs w:val="18"/>
    </w:rPr>
  </w:style>
  <w:style w:type="character" w:customStyle="1" w:styleId="26">
    <w:name w:val="页脚 字符"/>
    <w:basedOn w:val="7"/>
    <w:link w:val="2"/>
    <w:qFormat/>
    <w:uiPriority w:val="0"/>
    <w:rPr>
      <w:kern w:val="2"/>
      <w:sz w:val="18"/>
      <w:szCs w:val="18"/>
    </w:rPr>
  </w:style>
  <w:style w:type="paragraph" w:customStyle="1" w:styleId="27">
    <w:name w:val="附录表标题"/>
    <w:basedOn w:val="1"/>
    <w:next w:val="9"/>
    <w:qFormat/>
    <w:uiPriority w:val="0"/>
    <w:pPr>
      <w:numPr>
        <w:ilvl w:val="1"/>
        <w:numId w:val="8"/>
      </w:numPr>
      <w:tabs>
        <w:tab w:val="left" w:pos="180"/>
      </w:tabs>
      <w:spacing w:before="50" w:beforeLines="50" w:after="50" w:afterLines="50"/>
      <w:ind w:left="0" w:firstLine="0"/>
      <w:jc w:val="center"/>
    </w:pPr>
    <w:rPr>
      <w:rFonts w:ascii="黑体" w:eastAsia="黑体"/>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13</Pages>
  <Words>1125</Words>
  <Characters>6418</Characters>
  <Lines>53</Lines>
  <Paragraphs>15</Paragraphs>
  <TotalTime>3</TotalTime>
  <ScaleCrop>false</ScaleCrop>
  <LinksUpToDate>false</LinksUpToDate>
  <CharactersWithSpaces>7528</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2021-09-07T09:59:00Z</dcterms:created>
  <dc:creator>USER</dc:creator>
  <cp:lastModifiedBy>Administrator</cp:lastModifiedBy>
  <cp:lastPrinted>2019-07-10T11:21:00Z</cp:lastPrinted>
  <dcterms:modified xsi:type="dcterms:W3CDTF">2021-11-01T04:42:54Z</dcterms:modified>
  <dc:title>广西地方标准《脱氢枞酸》（征求意见稿）</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484DF7F1BEB842158BCD0584349217B5</vt:lpwstr>
  </property>
</Properties>
</file>